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0061481C">
      <w:pPr>
        <w:pStyle w:val="Balk1"/>
      </w:pPr>
      <w:r w:rsidRPr="6922EE43">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1006"/>
        <w:gridCol w:w="5124"/>
        <w:gridCol w:w="151"/>
        <w:gridCol w:w="76"/>
        <w:gridCol w:w="400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EA58971" w:rsidR="00E53255" w:rsidRDefault="00E53255" w:rsidP="00093CA9">
            <w:r>
              <w:t>BTS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48737D5" w:rsidR="00093CA9" w:rsidRDefault="00207AFC" w:rsidP="00093CA9">
            <w:r w:rsidRPr="00207AFC">
              <w:t>Sustainable Finance Framework (Sürdürülebilir Finansman Çerçeve Dokümanı)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2F1696"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4634C2ED" w14:textId="77777777" w:rsidR="00093CA9" w:rsidRDefault="0061481C" w:rsidP="00093CA9">
            <w:hyperlink r:id="rId17" w:history="1">
              <w:r w:rsidRPr="0061481C">
                <w:rPr>
                  <w:rStyle w:val="Kpr"/>
                </w:rPr>
                <w:t>/web/20250612071544/https://ms.hmb.gov.tr/uploads/2021/11/Republic-of-Turkey-Sustainable-Finance-Framework.pdf</w:t>
              </w:r>
            </w:hyperlink>
          </w:p>
          <w:p w14:paraId="7B80F18C" w14:textId="77777777" w:rsidR="009A6870" w:rsidRDefault="009A6870" w:rsidP="00093CA9">
            <w:hyperlink r:id="rId18" w:history="1">
              <w:r w:rsidRPr="009A6870">
                <w:rPr>
                  <w:rStyle w:val="Kpr"/>
                </w:rPr>
                <w:t>/web/20250616120926/https://ms.hmb.gov.tr/uploads/2024/09/MoTF-Green-Bond-Allocation-Report-2024.pdf</w:t>
              </w:r>
            </w:hyperlink>
          </w:p>
          <w:p w14:paraId="1CBF71F6" w14:textId="77777777" w:rsidR="00C0054E" w:rsidRPr="00571A92" w:rsidRDefault="00C0054E" w:rsidP="00C0054E">
            <w:pPr>
              <w:rPr>
                <w:rFonts w:cstheme="minorHAnsi"/>
                <w:b/>
                <w:bCs/>
                <w:lang w:val="tr-TR"/>
              </w:rPr>
            </w:pPr>
            <w:hyperlink r:id="rId19" w:history="1">
              <w:r w:rsidRPr="00F82291">
                <w:rPr>
                  <w:rStyle w:val="Kpr"/>
                  <w:rFonts w:cstheme="minorHAnsi"/>
                  <w:b/>
                  <w:bCs/>
                </w:rPr>
                <w:t>/web/20250618110041/https://www.icmagroup.org/assets/documents/Sustainable-finance/2022-updates/Green-Bond-Principles-June-2022-060623.pdf</w:t>
              </w:r>
            </w:hyperlink>
          </w:p>
          <w:p w14:paraId="10762BB2" w14:textId="77777777" w:rsidR="00C0054E" w:rsidRPr="00F82291" w:rsidRDefault="00C0054E" w:rsidP="00C0054E">
            <w:pPr>
              <w:rPr>
                <w:rFonts w:cstheme="minorHAnsi"/>
                <w:b/>
                <w:bCs/>
                <w:lang w:val="tr-TR"/>
              </w:rPr>
            </w:pPr>
            <w:hyperlink r:id="rId20" w:history="1">
              <w:r w:rsidRPr="002F1696">
                <w:rPr>
                  <w:rStyle w:val="Kpr"/>
                  <w:rFonts w:cstheme="minorHAnsi"/>
                  <w:b/>
                  <w:bCs/>
                  <w:lang w:val="tr-TR"/>
                </w:rPr>
                <w:t>/web/20250618110352/https://www.icmagroup.org/assets/documents/Sustainable-finance/2021-updates/Social-Bond-Principles-June-2021-100621.pdf</w:t>
              </w:r>
            </w:hyperlink>
          </w:p>
          <w:p w14:paraId="0F1E65A7" w14:textId="77777777" w:rsidR="00C0054E" w:rsidRPr="00C0054E" w:rsidRDefault="00C0054E" w:rsidP="00C0054E">
            <w:pPr>
              <w:rPr>
                <w:rFonts w:cstheme="minorHAnsi"/>
                <w:b/>
                <w:bCs/>
                <w:lang w:val="tr-TR"/>
              </w:rPr>
            </w:pPr>
            <w:hyperlink r:id="rId21" w:history="1">
              <w:r w:rsidRPr="002F1696">
                <w:rPr>
                  <w:rStyle w:val="Kpr"/>
                  <w:rFonts w:cstheme="minorHAnsi"/>
                  <w:b/>
                  <w:bCs/>
                  <w:lang w:val="tr-TR"/>
                </w:rPr>
                <w:t>/web/20250618110541/https://www.icmagroup.org/assets/documents/Sustainable-finance/2021-updates/Sustainability-Bond-Guidelines-June-2021-140621.pdf</w:t>
              </w:r>
            </w:hyperlink>
          </w:p>
          <w:p w14:paraId="3B1384A6" w14:textId="77777777" w:rsidR="00C0054E" w:rsidRPr="00C0054E" w:rsidRDefault="00C0054E" w:rsidP="00C0054E">
            <w:pPr>
              <w:rPr>
                <w:rFonts w:cstheme="minorHAnsi"/>
                <w:b/>
                <w:bCs/>
                <w:lang w:val="tr-TR"/>
              </w:rPr>
            </w:pPr>
            <w:hyperlink r:id="rId22" w:history="1">
              <w:r w:rsidRPr="002F1696">
                <w:rPr>
                  <w:rStyle w:val="Kpr"/>
                  <w:rFonts w:cstheme="minorHAnsi"/>
                  <w:b/>
                  <w:bCs/>
                  <w:lang w:val="tr-TR"/>
                </w:rPr>
                <w:t>/web/20250618110724/https://www.icmagroup.org/assets/documents/Regulatory/Green-Bonds/LMAGreenLoanPrinciplesBooklet-270919.pdf</w:t>
              </w:r>
            </w:hyperlink>
          </w:p>
          <w:p w14:paraId="589C8DF0" w14:textId="77777777" w:rsidR="00C0054E" w:rsidRPr="00C0054E" w:rsidRDefault="00C0054E" w:rsidP="00C0054E">
            <w:pPr>
              <w:rPr>
                <w:rFonts w:cstheme="minorHAnsi"/>
                <w:b/>
                <w:bCs/>
                <w:lang w:val="tr-TR"/>
              </w:rPr>
            </w:pPr>
            <w:hyperlink r:id="rId23" w:history="1">
              <w:r w:rsidRPr="002F1696">
                <w:rPr>
                  <w:rStyle w:val="Kpr"/>
                  <w:rFonts w:cstheme="minorHAnsi"/>
                  <w:b/>
                  <w:bCs/>
                  <w:lang w:val="tr-TR"/>
                </w:rPr>
                <w:t>/web/20250618110942/https://www.lsta.org/content/social-loan-principles-slp/</w:t>
              </w:r>
            </w:hyperlink>
          </w:p>
          <w:p w14:paraId="1523C232" w14:textId="722F966C" w:rsidR="00C0054E" w:rsidRPr="002F1696" w:rsidRDefault="00C0054E" w:rsidP="00093CA9">
            <w:pPr>
              <w:rPr>
                <w:lang w:val="tr-TR"/>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34E65AE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959CBA5" w:rsidR="00093CA9" w:rsidRDefault="00207AF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8C0D172"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8D8EDCF" w:rsidR="00093CA9" w:rsidRDefault="0061481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0534D3" w:rsidR="00093CA9" w:rsidRPr="00173D7C" w:rsidRDefault="0061481C"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5DBD0E4" w:rsidR="00093CA9" w:rsidRPr="00587FAE" w:rsidRDefault="00093CA9" w:rsidP="00FD139F">
            <w:pPr>
              <w:jc w:val="both"/>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4EBF58F" w:rsidR="00093CA9" w:rsidRDefault="002F1696"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3C2A8A5" w:rsidR="00093CA9" w:rsidRPr="006B7B0D" w:rsidRDefault="002F1696" w:rsidP="00093CA9">
            <w:r>
              <w:t>T</w:t>
            </w:r>
            <w:r w:rsidRPr="00AC7125">
              <w:t>he Ministry of Treasury and Finance</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7FA85A" w:rsidR="00093CA9" w:rsidRPr="006B7B0D" w:rsidRDefault="00AC712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46CC2FF7" w:rsidR="00093CA9" w:rsidRDefault="00AD0C5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5673062" w:rsidR="00093CA9" w:rsidRPr="008017F9" w:rsidRDefault="008F7F76" w:rsidP="00093CA9">
            <w:pPr>
              <w:keepNext/>
              <w:rPr>
                <w:color w:val="000000" w:themeColor="text1"/>
              </w:rPr>
            </w:pPr>
            <w:r w:rsidRPr="008F7F76">
              <w:rPr>
                <w:color w:val="000000" w:themeColor="text1"/>
              </w:rPr>
              <w:t xml:space="preserve">Sustainable Finance Framework </w:t>
            </w:r>
            <w:r>
              <w:rPr>
                <w:color w:val="000000" w:themeColor="text1"/>
              </w:rPr>
              <w:t xml:space="preserve">does </w:t>
            </w:r>
            <w:r w:rsidRPr="008F7F76">
              <w:rPr>
                <w:color w:val="000000" w:themeColor="text1"/>
              </w:rPr>
              <w:t xml:space="preserve">include </w:t>
            </w:r>
            <w:r>
              <w:rPr>
                <w:color w:val="000000" w:themeColor="text1"/>
              </w:rPr>
              <w:t xml:space="preserve">a </w:t>
            </w:r>
            <w:r w:rsidRPr="008F7F76">
              <w:rPr>
                <w:color w:val="000000" w:themeColor="text1"/>
              </w:rPr>
              <w:t>formal monitoring systems to oversee its implementation. As stated in Section 2.6 of the Framework, the Ministry of Treasury and Finance is responsible for preparing annual allocation and impact reports regarding the use of proceeds from sustainable financing instruments. These reports include information on how much funding has been allocated, the balance of unallocated funds, and the environmental and social impacts of the financed projects. The reports are made publicly available on the Ministry’s website, ensuring transparency and public access to information. Furthermore, as described in Section 2.7, the framework provides for external verification mechanisms.</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2F169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2F169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2F169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2F169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47C84A10">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47C84A10">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47C84A10">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47C84A10">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47726D" w:rsidR="00D4323A" w:rsidRPr="00CF2E7C" w:rsidRDefault="00D4323A" w:rsidP="00CF2E7C">
            <w:pPr>
              <w:rPr>
                <w:rFonts w:ascii="Calibri" w:hAnsi="Calibri" w:cs="Calibri"/>
              </w:rPr>
            </w:pPr>
          </w:p>
        </w:tc>
        <w:tc>
          <w:tcPr>
            <w:tcW w:w="1455" w:type="dxa"/>
            <w:gridSpan w:val="2"/>
            <w:vAlign w:val="center"/>
          </w:tcPr>
          <w:p w14:paraId="5B4FEC6B" w14:textId="0D8C05F5"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47C84A10">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6712CB7F" w:rsidR="00D4323A" w:rsidRPr="00CF2E7C" w:rsidRDefault="00D4323A" w:rsidP="00CF2E7C">
            <w:pPr>
              <w:rPr>
                <w:rFonts w:ascii="Calibri" w:hAnsi="Calibri" w:cs="Calibri"/>
              </w:rPr>
            </w:pPr>
          </w:p>
        </w:tc>
        <w:tc>
          <w:tcPr>
            <w:tcW w:w="1455" w:type="dxa"/>
            <w:gridSpan w:val="2"/>
            <w:vAlign w:val="center"/>
          </w:tcPr>
          <w:p w14:paraId="3C9FD41A" w14:textId="4FCD3C14"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47C84A10">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ED28CBE" w:rsidR="00D4323A" w:rsidRPr="00CF2E7C" w:rsidRDefault="00D4323A" w:rsidP="00CF2E7C">
            <w:pPr>
              <w:rPr>
                <w:rFonts w:ascii="Calibri" w:hAnsi="Calibri" w:cs="Calibri"/>
              </w:rPr>
            </w:pPr>
          </w:p>
        </w:tc>
        <w:tc>
          <w:tcPr>
            <w:tcW w:w="1455" w:type="dxa"/>
            <w:gridSpan w:val="2"/>
            <w:vAlign w:val="center"/>
          </w:tcPr>
          <w:p w14:paraId="768ED678" w14:textId="0F86AE53"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47C84A10">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16D8F876" w:rsidR="00D4323A" w:rsidRPr="00CF2E7C" w:rsidRDefault="00D4323A" w:rsidP="00CF2E7C">
            <w:pPr>
              <w:rPr>
                <w:rFonts w:ascii="Calibri" w:hAnsi="Calibri" w:cs="Calibri"/>
              </w:rPr>
            </w:pPr>
          </w:p>
        </w:tc>
        <w:tc>
          <w:tcPr>
            <w:tcW w:w="1455" w:type="dxa"/>
            <w:gridSpan w:val="2"/>
            <w:vAlign w:val="center"/>
          </w:tcPr>
          <w:p w14:paraId="4902C0E0" w14:textId="3CDA5E93"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47C84A10">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206AFEA0"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47C84A10">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43B71611" w:rsidR="00D4323A" w:rsidRPr="00CF2E7C" w:rsidRDefault="005D7847" w:rsidP="00CF2E7C">
            <w:pPr>
              <w:rPr>
                <w:rFonts w:ascii="Calibri" w:hAnsi="Calibri" w:cs="Calibri"/>
              </w:rPr>
            </w:pPr>
            <w:r>
              <w:rPr>
                <w:rFonts w:ascii="Calibri" w:hAnsi="Calibri" w:cs="Calibri"/>
              </w:rPr>
              <w:t>x</w:t>
            </w: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47C84A10">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06EB89AB" w:rsidR="00D4323A" w:rsidRPr="00CF2E7C" w:rsidRDefault="00C81133" w:rsidP="00CF2E7C">
            <w:pPr>
              <w:rPr>
                <w:rFonts w:ascii="Calibri" w:hAnsi="Calibri" w:cs="Calibri"/>
              </w:rPr>
            </w:pPr>
            <w:r>
              <w:rPr>
                <w:rFonts w:ascii="Calibri" w:hAnsi="Calibri" w:cs="Calibri"/>
              </w:rPr>
              <w:t>X</w:t>
            </w: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ABEC87D" w:rsidR="00D4323A" w:rsidRPr="00CF2E7C" w:rsidRDefault="005D7847" w:rsidP="00CF2E7C">
            <w:pPr>
              <w:rPr>
                <w:rFonts w:ascii="Calibri" w:hAnsi="Calibri" w:cs="Calibri"/>
              </w:rPr>
            </w:pPr>
            <w:r>
              <w:rPr>
                <w:rFonts w:ascii="Calibri" w:hAnsi="Calibri" w:cs="Calibri"/>
              </w:rPr>
              <w:t>x</w:t>
            </w:r>
          </w:p>
        </w:tc>
      </w:tr>
      <w:tr w:rsidR="00D4323A" w:rsidRPr="009C4D10" w14:paraId="719820F8" w14:textId="77777777" w:rsidTr="47C84A10">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6747E03D" w:rsidR="00D4323A" w:rsidRPr="00CF2E7C" w:rsidRDefault="00C81133" w:rsidP="00CF2E7C">
            <w:pPr>
              <w:rPr>
                <w:rFonts w:ascii="Calibri" w:hAnsi="Calibri" w:cs="Calibri"/>
              </w:rPr>
            </w:pPr>
            <w:r>
              <w:rPr>
                <w:rFonts w:ascii="Calibri" w:hAnsi="Calibri" w:cs="Calibri"/>
              </w:rPr>
              <w:t>x</w:t>
            </w:r>
          </w:p>
        </w:tc>
        <w:tc>
          <w:tcPr>
            <w:tcW w:w="1455" w:type="dxa"/>
            <w:gridSpan w:val="2"/>
            <w:vAlign w:val="center"/>
          </w:tcPr>
          <w:p w14:paraId="4E9DEEA5" w14:textId="7CFA98E6"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47C84A10">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4B727347" w:rsidR="00D4323A" w:rsidRPr="00CF2E7C" w:rsidRDefault="00C81133" w:rsidP="00CF2E7C">
            <w:pPr>
              <w:rPr>
                <w:rFonts w:ascii="Calibri" w:hAnsi="Calibri" w:cs="Calibri"/>
              </w:rPr>
            </w:pPr>
            <w:r>
              <w:rPr>
                <w:rFonts w:ascii="Calibri" w:hAnsi="Calibri" w:cs="Calibri"/>
              </w:rPr>
              <w:t>x</w:t>
            </w:r>
          </w:p>
        </w:tc>
        <w:tc>
          <w:tcPr>
            <w:tcW w:w="1455" w:type="dxa"/>
            <w:gridSpan w:val="2"/>
            <w:vAlign w:val="center"/>
          </w:tcPr>
          <w:p w14:paraId="5AC2C5A5" w14:textId="07AD8AF8"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47C84A10">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00BD52F3" w:rsidR="00D4323A" w:rsidRPr="00CF2E7C" w:rsidRDefault="00C81133" w:rsidP="00CF2E7C">
            <w:pPr>
              <w:rPr>
                <w:rFonts w:ascii="Calibri" w:hAnsi="Calibri" w:cs="Calibri"/>
              </w:rPr>
            </w:pPr>
            <w:r>
              <w:rPr>
                <w:rFonts w:ascii="Calibri" w:hAnsi="Calibri" w:cs="Calibri"/>
              </w:rPr>
              <w:t>x</w:t>
            </w:r>
          </w:p>
        </w:tc>
        <w:tc>
          <w:tcPr>
            <w:tcW w:w="1455" w:type="dxa"/>
            <w:gridSpan w:val="2"/>
            <w:vAlign w:val="center"/>
          </w:tcPr>
          <w:p w14:paraId="1D284466" w14:textId="20C2961F"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47C84A10">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1F7E2745" w:rsidR="00D4323A" w:rsidRPr="00CF2E7C" w:rsidRDefault="00D4323A" w:rsidP="00CF2E7C">
            <w:pPr>
              <w:rPr>
                <w:rFonts w:ascii="Calibri" w:hAnsi="Calibri" w:cs="Calibri"/>
              </w:rPr>
            </w:pPr>
          </w:p>
        </w:tc>
        <w:tc>
          <w:tcPr>
            <w:tcW w:w="1455" w:type="dxa"/>
            <w:gridSpan w:val="2"/>
            <w:vAlign w:val="center"/>
          </w:tcPr>
          <w:p w14:paraId="5A7414BC" w14:textId="5390B577" w:rsidR="00D4323A" w:rsidRPr="00CF2E7C" w:rsidRDefault="00FC7135" w:rsidP="00CF2E7C">
            <w:pPr>
              <w:rPr>
                <w:rFonts w:ascii="Calibri" w:hAnsi="Calibri" w:cs="Calibri"/>
              </w:rPr>
            </w:pPr>
            <w:r>
              <w:rPr>
                <w:rFonts w:ascii="Calibri" w:hAnsi="Calibri" w:cs="Calibri"/>
              </w:rPr>
              <w:t>x</w:t>
            </w:r>
          </w:p>
        </w:tc>
        <w:tc>
          <w:tcPr>
            <w:tcW w:w="1505" w:type="dxa"/>
            <w:vAlign w:val="center"/>
          </w:tcPr>
          <w:p w14:paraId="324C4411" w14:textId="4B820B30" w:rsidR="00D4323A" w:rsidRPr="00CF2E7C" w:rsidRDefault="00D4323A" w:rsidP="00CF2E7C">
            <w:pPr>
              <w:rPr>
                <w:rFonts w:ascii="Calibri" w:hAnsi="Calibri" w:cs="Calibri"/>
              </w:rPr>
            </w:pPr>
          </w:p>
        </w:tc>
      </w:tr>
      <w:tr w:rsidR="00D4323A" w:rsidRPr="009C4D10" w14:paraId="719D5881" w14:textId="77777777" w:rsidTr="47C84A10">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29F268A2" w:rsidR="00D4323A" w:rsidRPr="00CF2E7C" w:rsidRDefault="00BC793B" w:rsidP="00CF2E7C">
            <w:pPr>
              <w:rPr>
                <w:rFonts w:ascii="Calibri" w:hAnsi="Calibri" w:cs="Calibri"/>
              </w:rPr>
            </w:pPr>
            <w:r>
              <w:rPr>
                <w:rFonts w:ascii="Calibri" w:hAnsi="Calibri" w:cs="Calibri"/>
              </w:rPr>
              <w:t>x</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47C84A10">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47C84A10">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47C84A10">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47C84A10">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185DCD1D">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47C84A10">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47C84A10">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3C671129" w:rsidR="00DD292A" w:rsidRPr="00CF2E7C" w:rsidRDefault="00144931"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47C84A10">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2DBCBB38" w:rsidR="00DD292A" w:rsidRPr="00CF2E7C" w:rsidRDefault="00144931"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47C84A10">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5ABA0773" w:rsidR="00DD292A" w:rsidRPr="00CF2E7C" w:rsidRDefault="00144931"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47C84A10">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573D0372" w:rsidR="00DD292A" w:rsidRPr="00CF2E7C" w:rsidRDefault="00144931"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47C84A10">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24270C18" w:rsidR="00DD292A" w:rsidRPr="00CF2E7C" w:rsidRDefault="00C1062C"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47C84A10">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47C84A10">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47C84A10">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47C84A10">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47C84A10">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47C84A10">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2990428C"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47C84A10">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713E866" w:rsidR="00DD292A" w:rsidRPr="00CF2E7C" w:rsidRDefault="004E4730" w:rsidP="00CF2E7C">
            <w:pPr>
              <w:rPr>
                <w:rFonts w:ascii="Calibri" w:hAnsi="Calibri" w:cs="Calibri"/>
              </w:rPr>
            </w:pPr>
            <w:r>
              <w:rPr>
                <w:rFonts w:ascii="Calibri" w:hAnsi="Calibri" w:cs="Calibri"/>
              </w:rPr>
              <w:t>x</w:t>
            </w:r>
          </w:p>
        </w:tc>
      </w:tr>
      <w:tr w:rsidR="00DD292A" w:rsidRPr="009C4D10" w14:paraId="3BA0392E" w14:textId="77777777" w:rsidTr="47C84A10">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344482E8" w:rsidR="00DD292A" w:rsidRPr="00CF2E7C" w:rsidRDefault="00FB56D0" w:rsidP="00CF2E7C">
            <w:pPr>
              <w:rPr>
                <w:rFonts w:ascii="Calibri" w:hAnsi="Calibri" w:cs="Calibri"/>
              </w:rPr>
            </w:pPr>
            <w:r>
              <w:rPr>
                <w:rFonts w:ascii="Calibri" w:hAnsi="Calibri" w:cs="Calibri"/>
              </w:rPr>
              <w:t>x</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47C84A10">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1E55AFD5"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47C84A10">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58472FFB"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47C84A10">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435ED041" w:rsidR="00DD292A" w:rsidRPr="00CF2E7C" w:rsidRDefault="00FB56D0" w:rsidP="00CF2E7C">
            <w:pPr>
              <w:rPr>
                <w:rFonts w:ascii="Calibri" w:hAnsi="Calibri" w:cs="Calibri"/>
              </w:rPr>
            </w:pPr>
            <w:r>
              <w:rPr>
                <w:rFonts w:ascii="Calibri" w:hAnsi="Calibri" w:cs="Calibri"/>
              </w:rPr>
              <w:t>x</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47C84A10">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3E089377"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47C84A10">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6A0E098E"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47C84A10">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379177CF"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47C84A10">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2A674553" w:rsidR="00DD292A" w:rsidRPr="00CF2E7C" w:rsidRDefault="000472FB" w:rsidP="00CF2E7C">
            <w:pPr>
              <w:rPr>
                <w:rFonts w:ascii="Calibri" w:hAnsi="Calibri" w:cs="Calibri"/>
              </w:rPr>
            </w:pPr>
            <w:r>
              <w:rPr>
                <w:rFonts w:ascii="Calibri" w:hAnsi="Calibri" w:cs="Calibri"/>
              </w:rPr>
              <w:t>x</w:t>
            </w: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47C84A10">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62AE1744"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47C84A10">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4BBF6817" w:rsidR="00DD292A" w:rsidRPr="00CF2E7C" w:rsidRDefault="00B96C97" w:rsidP="00CF2E7C">
            <w:pPr>
              <w:rPr>
                <w:rFonts w:ascii="Calibri" w:hAnsi="Calibri" w:cs="Calibri"/>
              </w:rPr>
            </w:pPr>
            <w:r>
              <w:rPr>
                <w:rFonts w:ascii="Calibri" w:hAnsi="Calibri" w:cs="Calibri"/>
              </w:rPr>
              <w:t>x</w:t>
            </w: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47C84A10">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47C84A10">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4BFDEFDA" w:rsidR="00DD292A" w:rsidRPr="00CF2E7C" w:rsidRDefault="00E42B2B" w:rsidP="00CF2E7C">
            <w:pPr>
              <w:rPr>
                <w:rFonts w:ascii="Calibri" w:hAnsi="Calibri" w:cs="Calibri"/>
              </w:rPr>
            </w:pPr>
            <w:r>
              <w:rPr>
                <w:rFonts w:ascii="Calibri" w:hAnsi="Calibri" w:cs="Calibri"/>
              </w:rPr>
              <w:t>x</w:t>
            </w: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47C84A10">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62CCAE33" w:rsidR="00DD292A" w:rsidRPr="00CF2E7C" w:rsidRDefault="006D1EAC" w:rsidP="00CF2E7C">
            <w:pPr>
              <w:rPr>
                <w:rFonts w:ascii="Calibri" w:hAnsi="Calibri" w:cs="Calibri"/>
              </w:rPr>
            </w:pPr>
            <w:r>
              <w:rPr>
                <w:rFonts w:ascii="Calibri" w:hAnsi="Calibri" w:cs="Calibri"/>
              </w:rPr>
              <w:t>x</w:t>
            </w: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47C84A10">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13A06E8B" w:rsidR="00DD292A" w:rsidRPr="00CF2E7C" w:rsidRDefault="00F34436" w:rsidP="00CF2E7C">
            <w:pPr>
              <w:rPr>
                <w:rFonts w:ascii="Calibri" w:hAnsi="Calibri" w:cs="Calibri"/>
              </w:rPr>
            </w:pPr>
            <w:r>
              <w:rPr>
                <w:rFonts w:ascii="Calibri" w:hAnsi="Calibri" w:cs="Calibri"/>
              </w:rPr>
              <w:t>x</w:t>
            </w: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47C84A10">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6143B796" w:rsidR="00DD292A" w:rsidRPr="00CF2E7C" w:rsidRDefault="006D1EAC" w:rsidP="00CF2E7C">
            <w:pPr>
              <w:rPr>
                <w:rFonts w:ascii="Calibri" w:hAnsi="Calibri" w:cs="Calibri"/>
              </w:rPr>
            </w:pPr>
            <w:r>
              <w:rPr>
                <w:rFonts w:ascii="Calibri" w:hAnsi="Calibri" w:cs="Calibri"/>
              </w:rPr>
              <w:t>x</w:t>
            </w: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47C84A10">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470A2425" w:rsidR="00DD292A" w:rsidRPr="00CF2E7C" w:rsidRDefault="00F42580" w:rsidP="00CF2E7C">
            <w:pPr>
              <w:rPr>
                <w:rFonts w:ascii="Calibri" w:hAnsi="Calibri" w:cs="Calibri"/>
              </w:rPr>
            </w:pPr>
            <w:r>
              <w:rPr>
                <w:rFonts w:ascii="Calibri" w:hAnsi="Calibri" w:cs="Calibri"/>
              </w:rPr>
              <w:t>x</w:t>
            </w:r>
          </w:p>
        </w:tc>
      </w:tr>
      <w:tr w:rsidR="00DD292A" w:rsidRPr="009C4D10" w14:paraId="5EF39827" w14:textId="77777777" w:rsidTr="47C84A10">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4D1A9973" w:rsidR="00DD292A" w:rsidRPr="00CF2E7C" w:rsidRDefault="00F34436" w:rsidP="00CF2E7C">
            <w:pPr>
              <w:rPr>
                <w:rFonts w:ascii="Calibri" w:hAnsi="Calibri" w:cs="Calibri"/>
              </w:rPr>
            </w:pPr>
            <w:r>
              <w:rPr>
                <w:rFonts w:ascii="Calibri" w:hAnsi="Calibri" w:cs="Calibri"/>
              </w:rPr>
              <w:t>x</w:t>
            </w: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47C84A10">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CBD8F0F" w:rsidR="00DD292A" w:rsidRPr="00CF2E7C" w:rsidRDefault="00F34436" w:rsidP="00CF2E7C">
            <w:pPr>
              <w:rPr>
                <w:rFonts w:ascii="Calibri" w:hAnsi="Calibri" w:cs="Calibri"/>
              </w:rPr>
            </w:pPr>
            <w:r>
              <w:rPr>
                <w:rFonts w:ascii="Calibri" w:hAnsi="Calibri" w:cs="Calibri"/>
              </w:rPr>
              <w:t>x</w:t>
            </w:r>
          </w:p>
        </w:tc>
      </w:tr>
      <w:tr w:rsidR="00DD292A" w:rsidRPr="009C4D10" w14:paraId="1372325C" w14:textId="77777777" w:rsidTr="47C84A10">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5F25EDA4" w:rsidR="00DD292A" w:rsidRPr="00CF2E7C" w:rsidRDefault="00F34436" w:rsidP="00CF2E7C">
            <w:pPr>
              <w:rPr>
                <w:rFonts w:ascii="Calibri" w:hAnsi="Calibri" w:cs="Calibri"/>
              </w:rPr>
            </w:pPr>
            <w:r>
              <w:rPr>
                <w:rFonts w:ascii="Calibri" w:hAnsi="Calibri" w:cs="Calibri"/>
              </w:rPr>
              <w:t>x</w:t>
            </w:r>
          </w:p>
        </w:tc>
      </w:tr>
      <w:tr w:rsidR="00DD292A" w:rsidRPr="009C4D10" w14:paraId="602DA900" w14:textId="77777777" w:rsidTr="47C84A10">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47C84A10">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47C84A10">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47C84A10">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47C84A10">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47C84A10">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47C84A10">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47C84A10">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27130D67" w:rsidR="00DD292A" w:rsidRPr="00CF2E7C" w:rsidRDefault="00C721AA" w:rsidP="00CF2E7C">
            <w:pPr>
              <w:rPr>
                <w:rFonts w:ascii="Calibri" w:hAnsi="Calibri" w:cs="Calibri"/>
              </w:rPr>
            </w:pPr>
            <w:r>
              <w:rPr>
                <w:rFonts w:ascii="Calibri" w:hAnsi="Calibri" w:cs="Calibri"/>
              </w:rPr>
              <w:t>N/A</w:t>
            </w:r>
          </w:p>
        </w:tc>
      </w:tr>
      <w:tr w:rsidR="00DD292A" w:rsidRPr="009C4D10" w14:paraId="7A547042" w14:textId="77777777" w:rsidTr="47C84A10">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15F88FB9" w:rsidR="00DD292A" w:rsidRPr="00CF2E7C" w:rsidRDefault="00C721AA" w:rsidP="00CF2E7C">
            <w:pPr>
              <w:rPr>
                <w:rFonts w:ascii="Calibri" w:hAnsi="Calibri" w:cs="Calibri"/>
              </w:rPr>
            </w:pPr>
            <w:r>
              <w:rPr>
                <w:rFonts w:ascii="Calibri" w:hAnsi="Calibri" w:cs="Calibri"/>
              </w:rPr>
              <w:t>N/A</w:t>
            </w:r>
          </w:p>
        </w:tc>
      </w:tr>
      <w:tr w:rsidR="00DD292A" w:rsidRPr="00E53255" w14:paraId="7FB41779" w14:textId="77777777" w:rsidTr="47C84A10">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BAE77CE" w:rsidR="00DD292A" w:rsidRPr="00CF2E7C" w:rsidRDefault="00C721AA" w:rsidP="00CF2E7C">
            <w:pPr>
              <w:rPr>
                <w:rFonts w:ascii="Calibri" w:hAnsi="Calibri" w:cs="Calibri"/>
                <w:lang w:val="sv-SE"/>
              </w:rPr>
            </w:pPr>
            <w:r>
              <w:rPr>
                <w:rFonts w:ascii="Calibri" w:hAnsi="Calibri" w:cs="Calibri"/>
              </w:rPr>
              <w:t>N/A</w:t>
            </w:r>
          </w:p>
        </w:tc>
      </w:tr>
      <w:tr w:rsidR="00DD292A" w:rsidRPr="009C4D10" w14:paraId="4B4232A4" w14:textId="77777777" w:rsidTr="47C84A10">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6F37249A" w:rsidR="00DD292A" w:rsidRPr="00CF2E7C" w:rsidRDefault="00C721AA" w:rsidP="00CF2E7C">
            <w:pPr>
              <w:rPr>
                <w:rFonts w:ascii="Calibri" w:hAnsi="Calibri" w:cs="Calibri"/>
              </w:rPr>
            </w:pPr>
            <w:r>
              <w:rPr>
                <w:rFonts w:ascii="Calibri" w:hAnsi="Calibri" w:cs="Calibri"/>
              </w:rPr>
              <w:t>N/A</w:t>
            </w:r>
          </w:p>
        </w:tc>
      </w:tr>
      <w:tr w:rsidR="00DD292A" w:rsidRPr="009C4D10" w14:paraId="6D98FD5A" w14:textId="77777777" w:rsidTr="47C84A10">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56F40508" w:rsidR="00DD292A" w:rsidRPr="00CF2E7C" w:rsidRDefault="00590DC7" w:rsidP="00C721AA">
            <w:pPr>
              <w:jc w:val="both"/>
              <w:rPr>
                <w:rFonts w:ascii="Calibri" w:hAnsi="Calibri" w:cs="Calibri"/>
              </w:rPr>
            </w:pPr>
            <w:r w:rsidRPr="00590DC7">
              <w:rPr>
                <w:rFonts w:ascii="Calibri" w:hAnsi="Calibri" w:cs="Calibri"/>
              </w:rPr>
              <w:t xml:space="preserve">The Republic of </w:t>
            </w:r>
            <w:r w:rsidR="00C312DD">
              <w:rPr>
                <w:rFonts w:ascii="Calibri" w:hAnsi="Calibri" w:cs="Calibri"/>
              </w:rPr>
              <w:t>Türkiye</w:t>
            </w:r>
            <w:r w:rsidRPr="00590DC7">
              <w:rPr>
                <w:rFonts w:ascii="Calibri" w:hAnsi="Calibri" w:cs="Calibri"/>
              </w:rPr>
              <w:t>, as the sovereign issuer, applies this framework for projects under its national jurisdiction. Eligible project entities (e.g. ministries, public institutions, local governments) are expected to operate within Türkiye.</w:t>
            </w:r>
          </w:p>
        </w:tc>
      </w:tr>
      <w:tr w:rsidR="00DD292A" w:rsidRPr="009C4D10" w14:paraId="250CFB33" w14:textId="77777777" w:rsidTr="47C84A10">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33B0031" w14:textId="77777777" w:rsidR="00C721AA" w:rsidRDefault="00C721AA" w:rsidP="00C721AA">
            <w:pPr>
              <w:spacing w:before="0" w:after="0"/>
              <w:jc w:val="both"/>
            </w:pPr>
            <w:r>
              <w:t xml:space="preserve">Projects must comply with eligibility criteria under the framework (e.g. contribution to SDGs, alignment with green/social categories, </w:t>
            </w:r>
            <w:r w:rsidRPr="00C721AA">
              <w:t xml:space="preserve">environmental/social safeguards). However, these are </w:t>
            </w:r>
            <w:r w:rsidRPr="00C721AA">
              <w:rPr>
                <w:rStyle w:val="Gl"/>
                <w:b w:val="0"/>
                <w:bCs w:val="0"/>
              </w:rPr>
              <w:t>project-level eligibility</w:t>
            </w:r>
            <w:r w:rsidRPr="00C721AA">
              <w:rPr>
                <w:b/>
                <w:bCs/>
              </w:rPr>
              <w:t xml:space="preserve"> </w:t>
            </w:r>
            <w:r w:rsidRPr="00C721AA">
              <w:t>conditions,</w:t>
            </w:r>
            <w:r w:rsidRPr="00C721AA">
              <w:rPr>
                <w:b/>
                <w:bCs/>
              </w:rPr>
              <w:t xml:space="preserve"> </w:t>
            </w:r>
            <w:r w:rsidRPr="00C721AA">
              <w:rPr>
                <w:rStyle w:val="Gl"/>
                <w:b w:val="0"/>
                <w:bCs w:val="0"/>
              </w:rPr>
              <w:t>not entity-level compliance obligations</w:t>
            </w:r>
            <w:r w:rsidRPr="00C721AA">
              <w:t>.</w:t>
            </w:r>
          </w:p>
          <w:p w14:paraId="00B7C4FE" w14:textId="77777777" w:rsidR="00DD292A" w:rsidRPr="00CF2E7C" w:rsidRDefault="00DD292A" w:rsidP="00C721AA">
            <w:pPr>
              <w:jc w:val="both"/>
              <w:rPr>
                <w:rFonts w:ascii="Calibri" w:hAnsi="Calibri" w:cs="Calibri"/>
              </w:rPr>
            </w:pPr>
          </w:p>
        </w:tc>
      </w:tr>
      <w:tr w:rsidR="00DD292A" w:rsidRPr="009C4D10" w14:paraId="7DABB7EF" w14:textId="77777777" w:rsidTr="47C84A10">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47C84A10">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4790AA75" w:rsidR="00DD292A" w:rsidRPr="00CF2E7C" w:rsidRDefault="00DD292A" w:rsidP="00CF2E7C">
            <w:pPr>
              <w:rPr>
                <w:rFonts w:ascii="Calibri" w:hAnsi="Calibri" w:cs="Calibri"/>
              </w:rPr>
            </w:pPr>
          </w:p>
        </w:tc>
      </w:tr>
      <w:tr w:rsidR="00DD292A" w:rsidRPr="009C4D10" w14:paraId="4F91F2AD" w14:textId="77777777" w:rsidTr="47C84A10">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47C84A10">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6AD21053" w:rsidR="00DD292A" w:rsidRPr="00CF2E7C" w:rsidRDefault="00831F1E" w:rsidP="00CF2E7C">
            <w:pPr>
              <w:rPr>
                <w:rFonts w:ascii="Calibri" w:hAnsi="Calibri" w:cs="Calibri"/>
              </w:rPr>
            </w:pPr>
            <w:r>
              <w:rPr>
                <w:rFonts w:ascii="Calibri" w:hAnsi="Calibri" w:cs="Calibri"/>
              </w:rPr>
              <w:t>x</w:t>
            </w:r>
          </w:p>
        </w:tc>
      </w:tr>
      <w:tr w:rsidR="00DD292A" w:rsidRPr="009C4D10" w14:paraId="41835AE4" w14:textId="77777777" w:rsidTr="47C84A10">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47C84A10">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22C2BB25" w:rsidR="00DD292A" w:rsidRPr="00831F1E" w:rsidRDefault="00831F1E" w:rsidP="00831F1E">
            <w:pPr>
              <w:jc w:val="both"/>
              <w:rPr>
                <w:rFonts w:ascii="Calibri" w:hAnsi="Calibri" w:cs="Calibri"/>
              </w:rPr>
            </w:pPr>
            <w:r w:rsidRPr="00831F1E">
              <w:rPr>
                <w:rFonts w:ascii="Calibri" w:hAnsi="Calibri" w:cs="Calibri"/>
              </w:rPr>
              <w:t>The Framework does not impose any legally binding obligations on third-party entities. It is a voluntary financing framework established for sovereign issuance of green, social, and sustainability bonds. Therefore, there are no opt-out provisions, because there are no mandatory compliance obligations on external entities.</w:t>
            </w:r>
          </w:p>
        </w:tc>
      </w:tr>
      <w:tr w:rsidR="00DD292A" w:rsidRPr="009C4D10" w14:paraId="457C90E9" w14:textId="77777777" w:rsidTr="47C84A10">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47C84A10">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47C84A10">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47C84A10">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47C84A10">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47C84A10">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47C84A10">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47C84A10">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47C84A10">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47C84A10">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328FB363" w:rsidR="00DD3B33" w:rsidRPr="00CF2E7C" w:rsidRDefault="00C721AA" w:rsidP="00CF2E7C">
            <w:pPr>
              <w:rPr>
                <w:rFonts w:ascii="Calibri" w:hAnsi="Calibri" w:cs="Calibri"/>
              </w:rPr>
            </w:pPr>
            <w:r>
              <w:rPr>
                <w:rFonts w:ascii="Calibri" w:hAnsi="Calibri" w:cs="Calibri"/>
              </w:rPr>
              <w:t>X</w:t>
            </w:r>
          </w:p>
        </w:tc>
      </w:tr>
      <w:tr w:rsidR="00DD3B33" w:rsidRPr="009C4D10" w14:paraId="6843845F" w14:textId="77777777" w:rsidTr="47C84A10">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47C84A10">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47C84A10">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5AA66C3F" w:rsidR="00DD3B33" w:rsidRPr="00BC538F" w:rsidRDefault="00BC538F" w:rsidP="00BC538F">
            <w:pPr>
              <w:jc w:val="both"/>
              <w:rPr>
                <w:rFonts w:ascii="Calibri" w:hAnsi="Calibri" w:cs="Calibri"/>
              </w:rPr>
            </w:pPr>
            <w:r w:rsidRPr="00BC538F">
              <w:rPr>
                <w:rFonts w:ascii="Calibri" w:hAnsi="Calibri" w:cs="Calibri"/>
              </w:rPr>
              <w:t>This framework is not a regulatory or legislative instrument, but a sovereign financing framework. It does not impose enforceable compliance requirements on external actors, and thus no sanctions are defined or applicable. The framework does include evaluation, allocation, and reporting duties for the Ministry of Treasury and Finance, but these are internal to the state's own financial governance and do not include punitive mechanisms.</w:t>
            </w:r>
          </w:p>
        </w:tc>
      </w:tr>
      <w:tr w:rsidR="00DD292A" w:rsidRPr="009C4D10" w14:paraId="4AEB9761" w14:textId="77777777" w:rsidTr="47C84A10">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47C84A10">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47C84A10">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2D90A9D9" w:rsidR="00DD292A" w:rsidRPr="00CF2E7C" w:rsidRDefault="00BC538F" w:rsidP="00CF2E7C">
            <w:pPr>
              <w:rPr>
                <w:rFonts w:ascii="Calibri" w:hAnsi="Calibri" w:cs="Calibri"/>
              </w:rPr>
            </w:pPr>
            <w:r>
              <w:rPr>
                <w:rFonts w:ascii="Calibri" w:hAnsi="Calibri" w:cs="Calibri"/>
              </w:rPr>
              <w:t>x</w:t>
            </w:r>
          </w:p>
        </w:tc>
      </w:tr>
      <w:tr w:rsidR="00DD292A" w:rsidRPr="009C4D10" w14:paraId="760756BA" w14:textId="77777777" w:rsidTr="47C84A10">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47C84A10">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31C24C89" w14:textId="6D7976B6" w:rsidR="00A13A54" w:rsidRPr="00A13A54" w:rsidRDefault="00A13A54" w:rsidP="009303DD">
            <w:pPr>
              <w:jc w:val="both"/>
              <w:rPr>
                <w:rFonts w:ascii="Calibri" w:hAnsi="Calibri" w:cs="Calibri"/>
              </w:rPr>
            </w:pPr>
            <w:r w:rsidRPr="00A13A54">
              <w:rPr>
                <w:rFonts w:ascii="Calibri" w:hAnsi="Calibri" w:cs="Calibri"/>
              </w:rPr>
              <w:t xml:space="preserve">The Ministry of Treasury and Finance published this framework in 2021 and subsequently used it to issue sovereign green bonds. The proceeds from these green bond issuances have been allocated to finance or refinance projects that meet the eligibility criteria defined in the Framework </w:t>
            </w:r>
            <w:r w:rsidR="009303DD" w:rsidRPr="009303DD">
              <w:rPr>
                <w:rFonts w:ascii="Calibri" w:hAnsi="Calibri" w:cs="Calibri"/>
              </w:rPr>
              <w:t>. As outlined in Section 2.6 (Reporting) of the Framework document, the Ministry of Treasury and Finance has committed to annual allocation and impact reporting on the use of proceeds from Sustainable Financing Instruments. These reports are made publicly available on the Ministry's website and include information on the allocation of funds to eligible green and social projects as well as measurable environmental and social outcomes.</w:t>
            </w:r>
          </w:p>
          <w:p w14:paraId="67883AD6" w14:textId="7F031D51" w:rsidR="00A13A54" w:rsidRPr="00871BDA" w:rsidRDefault="00871BDA" w:rsidP="00871BDA">
            <w:pPr>
              <w:jc w:val="both"/>
              <w:rPr>
                <w:rFonts w:ascii="Calibri" w:hAnsi="Calibri" w:cs="Calibri"/>
              </w:rPr>
            </w:pPr>
            <w:r w:rsidRPr="00871BDA">
              <w:rPr>
                <w:rFonts w:ascii="Calibri" w:hAnsi="Calibri" w:cs="Calibri"/>
              </w:rPr>
              <w:t>The most up-to-date information on the financing provided through green bond issuance and the information on the financing of green projects that meet the eligibility criteria for 2024 can be found in the link below:</w:t>
            </w:r>
          </w:p>
          <w:p w14:paraId="496F7156" w14:textId="62335D1E" w:rsidR="00DD292A" w:rsidRPr="00871BDA" w:rsidRDefault="009A6870" w:rsidP="00871BDA">
            <w:pPr>
              <w:jc w:val="both"/>
              <w:rPr>
                <w:rFonts w:ascii="Calibri" w:hAnsi="Calibri" w:cs="Calibri"/>
              </w:rPr>
            </w:pPr>
            <w:hyperlink r:id="rId24" w:history="1">
              <w:r w:rsidRPr="00871BDA">
                <w:rPr>
                  <w:rStyle w:val="Kpr"/>
                  <w:rFonts w:ascii="Calibri" w:hAnsi="Calibri" w:cs="Calibri"/>
                </w:rPr>
                <w:t>/web/20250616120926/https://ms.hmb.gov.tr/uploads/2024/09/MoTF-Green-Bond-Allocation-Report-2024.pdf</w:t>
              </w:r>
            </w:hyperlink>
          </w:p>
        </w:tc>
      </w:tr>
      <w:tr w:rsidR="00DD292A" w:rsidRPr="009C4D10" w14:paraId="48E32054" w14:textId="77777777" w:rsidTr="47C84A10">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47C84A10">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3FDF297C" w:rsidR="00DD292A" w:rsidRPr="00CF2E7C" w:rsidRDefault="00743A3C" w:rsidP="00CF2E7C">
            <w:pPr>
              <w:rPr>
                <w:rFonts w:ascii="Calibri" w:hAnsi="Calibri" w:cs="Calibri"/>
              </w:rPr>
            </w:pPr>
            <w:r>
              <w:rPr>
                <w:rFonts w:ascii="Calibri" w:hAnsi="Calibri" w:cs="Calibri"/>
              </w:rPr>
              <w:t>x</w:t>
            </w:r>
          </w:p>
        </w:tc>
      </w:tr>
      <w:tr w:rsidR="00DD292A" w:rsidRPr="009C4D10" w14:paraId="15ACEF81" w14:textId="77777777" w:rsidTr="47C84A10">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47C84A10">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47C84A10">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47C84A10">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47C84A10">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65CAA2A7" w:rsidR="00DD292A" w:rsidRPr="00CF2E7C" w:rsidRDefault="00BF2A6A" w:rsidP="00CF2E7C">
            <w:pPr>
              <w:rPr>
                <w:rFonts w:ascii="Calibri" w:hAnsi="Calibri" w:cs="Calibri"/>
              </w:rPr>
            </w:pPr>
            <w:r>
              <w:rPr>
                <w:rFonts w:ascii="Calibri" w:hAnsi="Calibri" w:cs="Calibri"/>
              </w:rPr>
              <w:t>x</w:t>
            </w:r>
          </w:p>
        </w:tc>
      </w:tr>
      <w:tr w:rsidR="00DD292A" w:rsidRPr="009C4D10" w14:paraId="3BEDB650" w14:textId="77777777" w:rsidTr="47C84A10">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47C84A10">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47C84A10">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185DCD1D">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654D8A0"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A7A5921" w:rsidR="00410853" w:rsidRPr="00CF2E7C" w:rsidRDefault="0088292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2DBF1546" w:rsidR="00410853" w:rsidRPr="00CF2E7C" w:rsidRDefault="00D65E94" w:rsidP="00D65E94">
            <w:pPr>
              <w:jc w:val="both"/>
              <w:textAlignment w:val="baseline"/>
              <w:rPr>
                <w:rFonts w:ascii="Calibri" w:eastAsia="Times New Roman" w:hAnsi="Calibri" w:cs="Calibri"/>
                <w:kern w:val="0"/>
                <w:lang w:eastAsia="en-GB"/>
                <w14:ligatures w14:val="none"/>
              </w:rPr>
            </w:pPr>
            <w:r w:rsidRPr="00D65E94">
              <w:rPr>
                <w:rFonts w:ascii="Calibri" w:eastAsia="Times New Roman" w:hAnsi="Calibri" w:cs="Calibri"/>
                <w:kern w:val="0"/>
                <w:lang w:eastAsia="en-GB"/>
                <w14:ligatures w14:val="none"/>
              </w:rPr>
              <w:t xml:space="preserve">The Republic of </w:t>
            </w:r>
            <w:r w:rsidR="00F32E2A">
              <w:rPr>
                <w:rFonts w:ascii="Calibri" w:eastAsia="Times New Roman" w:hAnsi="Calibri" w:cs="Calibri"/>
                <w:kern w:val="0"/>
                <w:lang w:eastAsia="en-GB"/>
                <w14:ligatures w14:val="none"/>
              </w:rPr>
              <w:t>Türkiye</w:t>
            </w:r>
            <w:r w:rsidR="00F32E2A" w:rsidRPr="00D65E94">
              <w:rPr>
                <w:rFonts w:ascii="Calibri" w:eastAsia="Times New Roman" w:hAnsi="Calibri" w:cs="Calibri"/>
                <w:kern w:val="0"/>
                <w:lang w:eastAsia="en-GB"/>
                <w14:ligatures w14:val="none"/>
              </w:rPr>
              <w:t xml:space="preserve"> </w:t>
            </w:r>
            <w:r w:rsidRPr="00D65E94">
              <w:rPr>
                <w:rFonts w:ascii="Calibri" w:eastAsia="Times New Roman" w:hAnsi="Calibri" w:cs="Calibri"/>
                <w:kern w:val="0"/>
                <w:lang w:eastAsia="en-GB"/>
                <w14:ligatures w14:val="none"/>
              </w:rPr>
              <w:t>Sustainable Finance Framework</w:t>
            </w:r>
            <w:r w:rsidR="008B5E8E">
              <w:rPr>
                <w:rFonts w:ascii="Calibri" w:eastAsia="Times New Roman" w:hAnsi="Calibri" w:cs="Calibri"/>
                <w:kern w:val="0"/>
                <w:lang w:eastAsia="en-GB"/>
                <w14:ligatures w14:val="none"/>
              </w:rPr>
              <w:t>’</w:t>
            </w:r>
            <w:r w:rsidRPr="00D65E94">
              <w:rPr>
                <w:rFonts w:ascii="Calibri" w:eastAsia="Times New Roman" w:hAnsi="Calibri" w:cs="Calibri"/>
                <w:kern w:val="0"/>
                <w:lang w:eastAsia="en-GB"/>
                <w14:ligatures w14:val="none"/>
              </w:rPr>
              <w:t>s primary objective is to facilitate the issuance of sovereign-level Green, Social, and Sustainability-linked financing instruments such as green bonds, sukuks, and loans. The framework aims to mobilize capital for environmental and social impact projects, enhance access to international sustainable finance markets, align public spending with Türkiye’s net-zero 2053 target and Sustainable Development Goals (SDGs), and promote the development of a domestic green finance ecosystem. It does not impose capital requirements, governance obligations, or stress-testing measures on financial institutions.</w:t>
            </w:r>
          </w:p>
        </w:tc>
      </w:tr>
      <w:tr w:rsidR="00410853" w:rsidRPr="009C4D10" w14:paraId="518CE51E"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1FEB1F00" w:rsidR="008C4722" w:rsidRPr="00CF2E7C" w:rsidRDefault="00E846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1FAFA6"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0555AE53" w:rsidR="008C4722" w:rsidRPr="00C34F65" w:rsidRDefault="00C34F65" w:rsidP="00C34F65">
            <w:pPr>
              <w:jc w:val="both"/>
              <w:textAlignment w:val="baseline"/>
              <w:rPr>
                <w:rFonts w:ascii="Calibri" w:eastAsia="Times New Roman" w:hAnsi="Calibri" w:cs="Calibri"/>
                <w:kern w:val="0"/>
                <w:lang w:eastAsia="en-GB"/>
                <w14:ligatures w14:val="none"/>
              </w:rPr>
            </w:pPr>
            <w:r w:rsidRPr="00C34F65">
              <w:rPr>
                <w:rFonts w:ascii="Calibri" w:eastAsia="Times New Roman" w:hAnsi="Calibri" w:cs="Calibri"/>
                <w:kern w:val="0"/>
                <w:lang w:eastAsia="en-GB"/>
                <w14:ligatures w14:val="none"/>
              </w:rPr>
              <w:t>The tool addresses project-level environmental and social impact themes, such as renewable energy, pollution prevention, climate adaptation, and social inclusion. These are not framed as financial risks, but rather as policy-driven investment objectives under a sovereign financing framework. Thus, the Framework supports sustainability goals, not financial institution-level risk governance.</w:t>
            </w:r>
          </w:p>
        </w:tc>
      </w:tr>
      <w:tr w:rsidR="008C4722" w:rsidRPr="009C4D10" w14:paraId="71CCB51A"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2249B6" w:rsidR="008C4722" w:rsidRPr="00CF2E7C" w:rsidRDefault="00B909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4198FFF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2BC80A3D"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4198FFF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2272A303" w:rsidR="007B7DEE" w:rsidRPr="00CF2E7C" w:rsidRDefault="00B909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3A108512" w:rsidR="007B7DEE" w:rsidRPr="00D8158A" w:rsidRDefault="00D8158A" w:rsidP="00D8158A">
            <w:pPr>
              <w:jc w:val="both"/>
              <w:textAlignment w:val="baseline"/>
              <w:rPr>
                <w:rFonts w:ascii="Calibri" w:eastAsia="Times New Roman" w:hAnsi="Calibri" w:cs="Calibri"/>
                <w:kern w:val="0"/>
                <w:lang w:eastAsia="en-GB"/>
                <w14:ligatures w14:val="none"/>
              </w:rPr>
            </w:pPr>
            <w:r w:rsidRPr="00D8158A">
              <w:rPr>
                <w:rFonts w:ascii="Calibri" w:eastAsia="Times New Roman" w:hAnsi="Calibri" w:cs="Calibri"/>
                <w:kern w:val="0"/>
                <w:lang w:eastAsia="en-GB"/>
                <w14:ligatures w14:val="none"/>
              </w:rPr>
              <w:t>The Sustainable Finance Framework does not formally adopt a specific taxonomy but aligns with international standards, particularly the EU Taxonomy. Section 1.2 states that legislation on sustainable investments will be prepared based on the EU Taxonomy and other global frameworks. Although no taxonomy is explicitly applied per category, the eligibility and exclusion criteria—such as emissions thresholds, certification requirements (e.g., LEED, EU Organic), and project types—reflect taxonomy-aligned principles. Thus, while not operationalizing a taxonomy, the framework indirectly uses taxonomy logic to classify green and sustainable expenditures in line with international norms.</w:t>
            </w:r>
          </w:p>
        </w:tc>
      </w:tr>
      <w:tr w:rsidR="007B7DEE" w:rsidRPr="009C4D10" w14:paraId="5E976859"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22E4600A" w:rsidR="00ED7E12" w:rsidRPr="00CF2E7C" w:rsidRDefault="00B909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2E453115" w:rsidR="00ED7E12" w:rsidRPr="00CF2E7C" w:rsidRDefault="00B909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36797A0"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185DCD1D">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74EA91B" w14:textId="50057B70" w:rsidR="007C67F0" w:rsidRPr="008F5364" w:rsidRDefault="008F5364" w:rsidP="00AD6A9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For </w:t>
            </w:r>
            <w:r w:rsidR="007C67F0" w:rsidRPr="008F5364">
              <w:rPr>
                <w:rFonts w:ascii="Calibri" w:eastAsia="Times New Roman" w:hAnsi="Calibri" w:cs="Calibri"/>
                <w:kern w:val="0"/>
                <w:lang w:eastAsia="en-GB"/>
                <w14:ligatures w14:val="none"/>
              </w:rPr>
              <w:t>Third-party verification</w:t>
            </w:r>
            <w:r>
              <w:rPr>
                <w:rFonts w:ascii="Calibri" w:eastAsia="Times New Roman" w:hAnsi="Calibri" w:cs="Calibri"/>
                <w:kern w:val="0"/>
                <w:lang w:eastAsia="en-GB"/>
                <w14:ligatures w14:val="none"/>
              </w:rPr>
              <w:t>;</w:t>
            </w:r>
            <w:r w:rsidR="007C67F0" w:rsidRPr="008F5364">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a</w:t>
            </w:r>
            <w:r w:rsidR="007C67F0" w:rsidRPr="008F5364">
              <w:rPr>
                <w:rFonts w:ascii="Calibri" w:eastAsia="Times New Roman" w:hAnsi="Calibri" w:cs="Calibri"/>
                <w:kern w:val="0"/>
                <w:lang w:eastAsia="en-GB"/>
                <w14:ligatures w14:val="none"/>
              </w:rPr>
              <w:t>s detailed in Section 2.7, the Ministry of Treasury and Finance has appointed Sustainalytics to issue a Second Party Opinion (SPO) and may engage an independent reviewer for annual post-issuance verification of allocation and impact reporting.</w:t>
            </w:r>
          </w:p>
          <w:p w14:paraId="65FDBF05" w14:textId="3F44D80E" w:rsidR="007C67F0" w:rsidRPr="008F5364" w:rsidRDefault="008F5364" w:rsidP="00AD6A98">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Additional</w:t>
            </w:r>
            <w:r w:rsidR="00721334">
              <w:rPr>
                <w:rFonts w:ascii="Calibri" w:eastAsia="Times New Roman" w:hAnsi="Calibri" w:cs="Calibri"/>
                <w:kern w:val="0"/>
                <w:lang w:eastAsia="en-GB"/>
                <w14:ligatures w14:val="none"/>
              </w:rPr>
              <w:t xml:space="preserve">ly the </w:t>
            </w:r>
            <w:r w:rsidR="007C67F0" w:rsidRPr="008F5364">
              <w:rPr>
                <w:rFonts w:ascii="Calibri" w:eastAsia="Times New Roman" w:hAnsi="Calibri" w:cs="Calibri"/>
                <w:kern w:val="0"/>
                <w:lang w:eastAsia="en-GB"/>
                <w14:ligatures w14:val="none"/>
              </w:rPr>
              <w:t>Ministry oversight and internal reporting</w:t>
            </w:r>
            <w:r w:rsidR="00721334">
              <w:rPr>
                <w:rFonts w:ascii="Calibri" w:eastAsia="Times New Roman" w:hAnsi="Calibri" w:cs="Calibri"/>
                <w:kern w:val="0"/>
                <w:lang w:eastAsia="en-GB"/>
                <w14:ligatures w14:val="none"/>
              </w:rPr>
              <w:t xml:space="preserve"> </w:t>
            </w:r>
            <w:r w:rsidR="00AD6A98">
              <w:rPr>
                <w:rFonts w:ascii="Calibri" w:eastAsia="Times New Roman" w:hAnsi="Calibri" w:cs="Calibri"/>
                <w:kern w:val="0"/>
                <w:lang w:eastAsia="en-GB"/>
                <w14:ligatures w14:val="none"/>
              </w:rPr>
              <w:t xml:space="preserve">which is being </w:t>
            </w:r>
            <w:r w:rsidR="00721334">
              <w:rPr>
                <w:rFonts w:ascii="Calibri" w:eastAsia="Times New Roman" w:hAnsi="Calibri" w:cs="Calibri"/>
                <w:kern w:val="0"/>
                <w:lang w:eastAsia="en-GB"/>
                <w14:ligatures w14:val="none"/>
              </w:rPr>
              <w:t xml:space="preserve"> specified </w:t>
            </w:r>
            <w:r w:rsidR="00AD6A98">
              <w:rPr>
                <w:rFonts w:ascii="Calibri" w:eastAsia="Times New Roman" w:hAnsi="Calibri" w:cs="Calibri"/>
                <w:kern w:val="0"/>
                <w:lang w:eastAsia="en-GB"/>
                <w14:ligatures w14:val="none"/>
              </w:rPr>
              <w:t>i</w:t>
            </w:r>
            <w:r w:rsidR="007C67F0" w:rsidRPr="008F5364">
              <w:rPr>
                <w:rFonts w:ascii="Calibri" w:eastAsia="Times New Roman" w:hAnsi="Calibri" w:cs="Calibri"/>
                <w:kern w:val="0"/>
                <w:lang w:eastAsia="en-GB"/>
                <w14:ligatures w14:val="none"/>
              </w:rPr>
              <w:t>n Sections 2.4 (Project Evaluation and Selection) and 2.6 (Reporting), it is explained that the Ministry of Treasury and Finance, with help from an inter-ministerial Working Group, is responsible for tracking, verifying, and publicly disclosing project eligibility, allocation of proceeds, and environmental/social impact. These reports are published annually on the Ministry’s website.</w:t>
            </w:r>
          </w:p>
          <w:p w14:paraId="42FF8A1B" w14:textId="0F2C737B" w:rsidR="00ED7E12" w:rsidRPr="00CF2E7C" w:rsidRDefault="00ED7E12" w:rsidP="00AD6A98">
            <w:pPr>
              <w:jc w:val="both"/>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185DCD1D">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2185FD6" w:rsidR="00702413" w:rsidRPr="003961E2" w:rsidRDefault="003961E2" w:rsidP="003961E2">
            <w:pPr>
              <w:jc w:val="both"/>
              <w:textAlignment w:val="baseline"/>
              <w:rPr>
                <w:rFonts w:eastAsia="Times New Roman" w:cstheme="minorHAnsi"/>
                <w:kern w:val="0"/>
                <w:lang w:eastAsia="en-GB"/>
                <w14:ligatures w14:val="none"/>
              </w:rPr>
            </w:pPr>
            <w:r w:rsidRPr="003961E2">
              <w:rPr>
                <w:rFonts w:eastAsia="Times New Roman" w:cstheme="minorHAnsi"/>
                <w:kern w:val="0"/>
                <w:lang w:eastAsia="en-GB"/>
                <w14:ligatures w14:val="none"/>
              </w:rPr>
              <w:t xml:space="preserve">The Republic of </w:t>
            </w:r>
            <w:r w:rsidR="009976F0">
              <w:rPr>
                <w:rFonts w:eastAsia="Times New Roman" w:cstheme="minorHAnsi"/>
                <w:kern w:val="0"/>
                <w:lang w:eastAsia="en-GB"/>
                <w14:ligatures w14:val="none"/>
              </w:rPr>
              <w:t>Türkiye</w:t>
            </w:r>
            <w:r w:rsidR="009976F0" w:rsidRPr="003961E2">
              <w:rPr>
                <w:rFonts w:eastAsia="Times New Roman" w:cstheme="minorHAnsi"/>
                <w:kern w:val="0"/>
                <w:lang w:eastAsia="en-GB"/>
                <w14:ligatures w14:val="none"/>
              </w:rPr>
              <w:t xml:space="preserve"> </w:t>
            </w:r>
            <w:r w:rsidRPr="003961E2">
              <w:rPr>
                <w:rFonts w:eastAsia="Times New Roman" w:cstheme="minorHAnsi"/>
                <w:kern w:val="0"/>
                <w:lang w:eastAsia="en-GB"/>
                <w14:ligatures w14:val="none"/>
              </w:rPr>
              <w:t>Sustainable Finance Framework is a sovereign financing instrument designed to mobilize green, social, and sustainability-linked investments. However, it plays an important enabling role in building a national ecosystem for sustainable finance, which may eventually support the development of prudential regulations. Its structure—defining eligible green/social categories, exclusions, and impact metrics—provides a foundation that future regulatory frameworks can draw upon.</w:t>
            </w:r>
          </w:p>
        </w:tc>
      </w:tr>
      <w:tr w:rsidR="00702413" w:rsidRPr="009C4D10" w14:paraId="30864C1D" w14:textId="77777777" w:rsidTr="185DCD1D">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185DCD1D">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357361" w:rsidRDefault="00702413" w:rsidP="00357361">
            <w:pPr>
              <w:jc w:val="both"/>
              <w:textAlignment w:val="baseline"/>
              <w:rPr>
                <w:rFonts w:eastAsia="Times New Roman" w:cstheme="minorHAnsi"/>
                <w:kern w:val="0"/>
                <w:lang w:eastAsia="en-GB"/>
                <w14:ligatures w14:val="none"/>
              </w:rPr>
            </w:pPr>
            <w:r w:rsidRPr="00357361">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506C293" w14:textId="0408089B" w:rsidR="00702413" w:rsidRPr="00F16A64" w:rsidRDefault="6DDA6673" w:rsidP="00F16A64">
            <w:pPr>
              <w:spacing w:before="0" w:after="0"/>
              <w:jc w:val="both"/>
              <w:textAlignment w:val="baseline"/>
              <w:rPr>
                <w:rFonts w:eastAsia="Times New Roman" w:cstheme="minorHAnsi"/>
              </w:rPr>
            </w:pPr>
            <w:r w:rsidRPr="00F16A64">
              <w:rPr>
                <w:rFonts w:eastAsia="Times New Roman" w:cstheme="minorHAnsi"/>
              </w:rPr>
              <w:t>This policy tool plays a quasi-prudential role by guiding public investment and policy coordination to manage climate and social risks across sectors. The key challenges in implementing this framework include the lack of integration with financial sector regulators, limited data for tracking environmental and social outcomes, and reliance on ministerial coordination without enforceable compliance mechanisms. As the framework aims to align public finance with sustainability goals, its effectiveness depends on improving cross-institutional governance, building technical capacity, and eventually embedding climate-related risk management more deeply into Turkey’s financial architecture.</w:t>
            </w:r>
          </w:p>
          <w:p w14:paraId="718D87F5" w14:textId="0849834D" w:rsidR="00702413" w:rsidRPr="00357361" w:rsidRDefault="00702413" w:rsidP="185DCD1D">
            <w:pPr>
              <w:jc w:val="both"/>
              <w:textAlignment w:val="baseline"/>
              <w:rPr>
                <w:rFonts w:eastAsia="Times New Roman"/>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6D7C65A"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1EE116E8"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C3887B4"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FBAD62C"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1DB74CF9"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C10B105" w:rsidR="00FE0EA5" w:rsidRPr="009C4D10" w:rsidRDefault="00FE0EA5" w:rsidP="00CF2E7C">
            <w:pPr>
              <w:rPr>
                <w:rFonts w:cstheme="minorHAnsi"/>
              </w:rPr>
            </w:pPr>
            <w:r w:rsidRPr="009C4D10">
              <w:rPr>
                <w:rFonts w:cstheme="minorHAnsi"/>
              </w:rPr>
              <w:t>  </w:t>
            </w:r>
            <w:r w:rsidR="0059019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4763C802" w:rsidR="00FE0EA5" w:rsidRPr="009C4D10" w:rsidRDefault="00FE0EA5" w:rsidP="00CF2E7C">
            <w:pPr>
              <w:rPr>
                <w:rFonts w:cstheme="minorHAnsi"/>
              </w:rPr>
            </w:pPr>
            <w:r w:rsidRPr="009C4D10">
              <w:rPr>
                <w:rFonts w:cstheme="minorHAnsi"/>
                <w:lang w:val="en-SG"/>
              </w:rPr>
              <w:t> </w:t>
            </w:r>
            <w:r w:rsidRPr="009C4D10">
              <w:rPr>
                <w:rFonts w:cstheme="minorHAnsi"/>
              </w:rPr>
              <w:t> </w:t>
            </w:r>
            <w:r w:rsidR="00590199">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253EF2F9" w14:textId="77777777" w:rsidR="00590199" w:rsidRPr="00590199" w:rsidRDefault="00590199" w:rsidP="00590199">
            <w:pPr>
              <w:rPr>
                <w:rFonts w:cstheme="minorHAnsi"/>
                <w:lang w:val="tr-TR"/>
              </w:rPr>
            </w:pPr>
            <w:r w:rsidRPr="00590199">
              <w:rPr>
                <w:rFonts w:cstheme="minorHAnsi"/>
                <w:lang w:val="tr-TR"/>
              </w:rPr>
              <w:t>The Framework refers to the following standards and guidelines:</w:t>
            </w:r>
          </w:p>
          <w:p w14:paraId="04C64120" w14:textId="77777777" w:rsidR="00DE7ADF" w:rsidRDefault="00590199" w:rsidP="00DE7ADF">
            <w:pPr>
              <w:pStyle w:val="ListeParagraf"/>
              <w:numPr>
                <w:ilvl w:val="0"/>
                <w:numId w:val="52"/>
              </w:numPr>
              <w:rPr>
                <w:rFonts w:cstheme="minorHAnsi"/>
                <w:b/>
                <w:bCs/>
                <w:lang w:val="tr-TR"/>
              </w:rPr>
            </w:pPr>
            <w:r w:rsidRPr="00DE7ADF">
              <w:rPr>
                <w:rFonts w:cstheme="minorHAnsi"/>
                <w:b/>
                <w:bCs/>
                <w:lang w:val="tr-TR"/>
              </w:rPr>
              <w:t>ICMA Green Bond Principles (GBP) 2021</w:t>
            </w:r>
          </w:p>
          <w:p w14:paraId="2E8B5FB5" w14:textId="0CF07570" w:rsidR="00571A92" w:rsidRPr="00571A92" w:rsidRDefault="00F82291" w:rsidP="00571A92">
            <w:pPr>
              <w:ind w:left="360"/>
              <w:rPr>
                <w:rFonts w:cstheme="minorHAnsi"/>
                <w:b/>
                <w:bCs/>
                <w:lang w:val="tr-TR"/>
              </w:rPr>
            </w:pPr>
            <w:hyperlink r:id="rId27" w:history="1">
              <w:r w:rsidRPr="002F1696">
                <w:rPr>
                  <w:rStyle w:val="Kpr"/>
                  <w:rFonts w:cstheme="minorHAnsi"/>
                  <w:b/>
                  <w:bCs/>
                  <w:lang w:val="tr-TR"/>
                </w:rPr>
                <w:t>/web/20250618110041/https://www.icmagroup.org/assets/documents/Sustainable-finance/2022-updates/Green-Bond-Principles-June-2022-060623.pdf</w:t>
              </w:r>
            </w:hyperlink>
          </w:p>
          <w:p w14:paraId="31F0B6D0" w14:textId="08576001" w:rsidR="00DE7ADF" w:rsidRDefault="00590199" w:rsidP="00DE7ADF">
            <w:pPr>
              <w:pStyle w:val="ListeParagraf"/>
              <w:numPr>
                <w:ilvl w:val="0"/>
                <w:numId w:val="52"/>
              </w:numPr>
              <w:rPr>
                <w:rFonts w:cstheme="minorHAnsi"/>
                <w:b/>
                <w:bCs/>
                <w:lang w:val="tr-TR"/>
              </w:rPr>
            </w:pPr>
            <w:r w:rsidRPr="00DE7ADF">
              <w:rPr>
                <w:rFonts w:cstheme="minorHAnsi"/>
                <w:b/>
                <w:bCs/>
                <w:lang w:val="tr-TR"/>
              </w:rPr>
              <w:t>ICMA Social Bond Principles (SBP) 2021</w:t>
            </w:r>
          </w:p>
          <w:p w14:paraId="66CAAC67" w14:textId="585796D4" w:rsidR="00F82291" w:rsidRPr="00F82291" w:rsidRDefault="00C2624B" w:rsidP="00F82291">
            <w:pPr>
              <w:rPr>
                <w:rFonts w:cstheme="minorHAnsi"/>
                <w:b/>
                <w:bCs/>
                <w:lang w:val="tr-TR"/>
              </w:rPr>
            </w:pPr>
            <w:hyperlink r:id="rId28" w:history="1">
              <w:r w:rsidRPr="002F1696">
                <w:rPr>
                  <w:rStyle w:val="Kpr"/>
                  <w:rFonts w:cstheme="minorHAnsi"/>
                  <w:b/>
                  <w:bCs/>
                  <w:lang w:val="tr-TR"/>
                </w:rPr>
                <w:t>/web/20250618110352/https://www.icmagroup.org/assets/documents/Sustainable-finance/2021-updates/Social-Bond-Principles-June-2021-100621.pdf</w:t>
              </w:r>
            </w:hyperlink>
          </w:p>
          <w:p w14:paraId="3574E349" w14:textId="45DC79B7" w:rsidR="00DE7ADF" w:rsidRDefault="00590199" w:rsidP="00DE7ADF">
            <w:pPr>
              <w:pStyle w:val="ListeParagraf"/>
              <w:numPr>
                <w:ilvl w:val="0"/>
                <w:numId w:val="52"/>
              </w:numPr>
              <w:rPr>
                <w:rFonts w:cstheme="minorHAnsi"/>
                <w:b/>
                <w:bCs/>
                <w:lang w:val="tr-TR"/>
              </w:rPr>
            </w:pPr>
            <w:r w:rsidRPr="00DE7ADF">
              <w:rPr>
                <w:rFonts w:cstheme="minorHAnsi"/>
                <w:b/>
                <w:bCs/>
                <w:lang w:val="tr-TR"/>
              </w:rPr>
              <w:t>ICMA Sustainability Bond Guidelines (SBG) 2021</w:t>
            </w:r>
          </w:p>
          <w:p w14:paraId="1D15A608" w14:textId="1472C2E6" w:rsidR="00C2624B" w:rsidRPr="00DE7ADF" w:rsidRDefault="005E647C" w:rsidP="00C2624B">
            <w:pPr>
              <w:pStyle w:val="ListeParagraf"/>
              <w:rPr>
                <w:rFonts w:cstheme="minorHAnsi"/>
                <w:b/>
                <w:bCs/>
                <w:lang w:val="tr-TR"/>
              </w:rPr>
            </w:pPr>
            <w:hyperlink r:id="rId29" w:history="1">
              <w:r w:rsidRPr="002F1696">
                <w:rPr>
                  <w:rStyle w:val="Kpr"/>
                  <w:rFonts w:cstheme="minorHAnsi"/>
                  <w:b/>
                  <w:bCs/>
                  <w:lang w:val="tr-TR"/>
                </w:rPr>
                <w:t>/web/20250618110541/https://www.icmagroup.org/assets/documents/Sustainable-finance/2021-updates/Sustainability-Bond-Guidelines-June-2021-140621.pdf</w:t>
              </w:r>
            </w:hyperlink>
          </w:p>
          <w:p w14:paraId="1B54C0E4" w14:textId="3636418A" w:rsidR="00DE7ADF" w:rsidRDefault="00590199" w:rsidP="00DE7ADF">
            <w:pPr>
              <w:pStyle w:val="ListeParagraf"/>
              <w:numPr>
                <w:ilvl w:val="0"/>
                <w:numId w:val="52"/>
              </w:numPr>
              <w:rPr>
                <w:rFonts w:cstheme="minorHAnsi"/>
                <w:b/>
                <w:bCs/>
                <w:lang w:val="tr-TR"/>
              </w:rPr>
            </w:pPr>
            <w:r w:rsidRPr="00DE7ADF">
              <w:rPr>
                <w:rFonts w:cstheme="minorHAnsi"/>
                <w:b/>
                <w:bCs/>
                <w:lang w:val="tr-TR"/>
              </w:rPr>
              <w:t>LMA Green Loan Principles (2021)</w:t>
            </w:r>
          </w:p>
          <w:p w14:paraId="7224A0D0" w14:textId="58F7C49B" w:rsidR="005E647C" w:rsidRPr="00DE7ADF" w:rsidRDefault="005A29E6" w:rsidP="005E647C">
            <w:pPr>
              <w:pStyle w:val="ListeParagraf"/>
              <w:rPr>
                <w:rFonts w:cstheme="minorHAnsi"/>
                <w:b/>
                <w:bCs/>
                <w:lang w:val="tr-TR"/>
              </w:rPr>
            </w:pPr>
            <w:hyperlink r:id="rId30" w:history="1">
              <w:r w:rsidRPr="002F1696">
                <w:rPr>
                  <w:rStyle w:val="Kpr"/>
                  <w:rFonts w:cstheme="minorHAnsi"/>
                  <w:b/>
                  <w:bCs/>
                  <w:lang w:val="tr-TR"/>
                </w:rPr>
                <w:t>/web/20250618110724/https://www.icmagroup.org/assets/documents/Regulatory/Green-Bonds/LMAGreenLoanPrinciplesBooklet-270919.pdf</w:t>
              </w:r>
            </w:hyperlink>
          </w:p>
          <w:p w14:paraId="3529E334" w14:textId="0D36FF2F" w:rsidR="00AC1F5D" w:rsidRDefault="00590199" w:rsidP="00DE7ADF">
            <w:pPr>
              <w:pStyle w:val="ListeParagraf"/>
              <w:numPr>
                <w:ilvl w:val="0"/>
                <w:numId w:val="52"/>
              </w:numPr>
              <w:rPr>
                <w:rFonts w:cstheme="minorHAnsi"/>
                <w:b/>
                <w:bCs/>
                <w:lang w:val="tr-TR"/>
              </w:rPr>
            </w:pPr>
            <w:r w:rsidRPr="00DE7ADF">
              <w:rPr>
                <w:rFonts w:cstheme="minorHAnsi"/>
                <w:b/>
                <w:bCs/>
                <w:lang w:val="tr-TR"/>
              </w:rPr>
              <w:t>LMA Social Loan Principles (2021)</w:t>
            </w:r>
          </w:p>
          <w:p w14:paraId="5651E272" w14:textId="190E89BE" w:rsidR="005A29E6" w:rsidRPr="00DE7ADF" w:rsidRDefault="00C0054E" w:rsidP="005A29E6">
            <w:pPr>
              <w:pStyle w:val="ListeParagraf"/>
              <w:rPr>
                <w:rFonts w:cstheme="minorHAnsi"/>
                <w:b/>
                <w:bCs/>
                <w:lang w:val="tr-TR"/>
              </w:rPr>
            </w:pPr>
            <w:hyperlink r:id="rId31" w:history="1">
              <w:r w:rsidRPr="002F1696">
                <w:rPr>
                  <w:rStyle w:val="Kpr"/>
                  <w:rFonts w:cstheme="minorHAnsi"/>
                  <w:b/>
                  <w:bCs/>
                  <w:lang w:val="tr-TR"/>
                </w:rPr>
                <w:t>/web/20250618110942/https://www.lsta.org/content/social-loan-principles-slp/</w:t>
              </w:r>
            </w:hyperlink>
          </w:p>
          <w:p w14:paraId="7478C0BE" w14:textId="0149F127" w:rsidR="00C01AF9" w:rsidRPr="009C4D10" w:rsidRDefault="00C01AF9" w:rsidP="008B41FC">
            <w:pPr>
              <w:pStyle w:val="ListeParagraf"/>
              <w:numPr>
                <w:ilvl w:val="0"/>
                <w:numId w:val="52"/>
              </w:num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2F169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C96EE5" w14:textId="77777777" w:rsidR="000A1D3E" w:rsidRDefault="000A1D3E" w:rsidP="00874E39">
      <w:r>
        <w:separator/>
      </w:r>
    </w:p>
  </w:endnote>
  <w:endnote w:type="continuationSeparator" w:id="0">
    <w:p w14:paraId="7AF94F3A" w14:textId="77777777" w:rsidR="000A1D3E" w:rsidRDefault="000A1D3E" w:rsidP="00874E39">
      <w:r>
        <w:continuationSeparator/>
      </w:r>
    </w:p>
  </w:endnote>
  <w:endnote w:type="continuationNotice" w:id="1">
    <w:p w14:paraId="37C9892E" w14:textId="77777777" w:rsidR="000A1D3E" w:rsidRDefault="000A1D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58241;mso-position-horizontal-relative:margin;mso-position-vertical-relative:margin" coordsize="29832,7194" o:spid="_x0000_s1026" w14:anchorId="396A727C"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791F6D" w14:textId="77777777" w:rsidR="000A1D3E" w:rsidRDefault="000A1D3E" w:rsidP="00874E39">
      <w:r>
        <w:separator/>
      </w:r>
    </w:p>
  </w:footnote>
  <w:footnote w:type="continuationSeparator" w:id="0">
    <w:p w14:paraId="0AEDC40C" w14:textId="77777777" w:rsidR="000A1D3E" w:rsidRDefault="000A1D3E" w:rsidP="00874E39">
      <w:r>
        <w:continuationSeparator/>
      </w:r>
    </w:p>
  </w:footnote>
  <w:footnote w:type="continuationNotice" w:id="1">
    <w:p w14:paraId="727415FA" w14:textId="77777777" w:rsidR="000A1D3E" w:rsidRDefault="000A1D3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6B975A8"/>
    <w:multiLevelType w:val="multilevel"/>
    <w:tmpl w:val="024C6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7A34EBB"/>
    <w:multiLevelType w:val="hybridMultilevel"/>
    <w:tmpl w:val="39E8CC8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15:restartNumberingAfterBreak="0">
    <w:nsid w:val="5C80558E"/>
    <w:multiLevelType w:val="multilevel"/>
    <w:tmpl w:val="D8221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BD10C0C"/>
    <w:multiLevelType w:val="hybridMultilevel"/>
    <w:tmpl w:val="C4740B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4"/>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6"/>
  </w:num>
  <w:num w:numId="20" w16cid:durableId="1328172586">
    <w:abstractNumId w:val="15"/>
  </w:num>
  <w:num w:numId="21" w16cid:durableId="184827816">
    <w:abstractNumId w:val="28"/>
  </w:num>
  <w:num w:numId="22" w16cid:durableId="1785346599">
    <w:abstractNumId w:val="34"/>
  </w:num>
  <w:num w:numId="23" w16cid:durableId="1294288901">
    <w:abstractNumId w:val="26"/>
  </w:num>
  <w:num w:numId="24" w16cid:durableId="1603957975">
    <w:abstractNumId w:val="48"/>
  </w:num>
  <w:num w:numId="25" w16cid:durableId="1659531047">
    <w:abstractNumId w:val="47"/>
  </w:num>
  <w:num w:numId="26" w16cid:durableId="752774403">
    <w:abstractNumId w:val="22"/>
  </w:num>
  <w:num w:numId="27" w16cid:durableId="347872198">
    <w:abstractNumId w:val="6"/>
  </w:num>
  <w:num w:numId="28" w16cid:durableId="537133110">
    <w:abstractNumId w:val="12"/>
  </w:num>
  <w:num w:numId="29" w16cid:durableId="1632318729">
    <w:abstractNumId w:val="49"/>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5"/>
  </w:num>
  <w:num w:numId="48" w16cid:durableId="318391343">
    <w:abstractNumId w:val="37"/>
  </w:num>
  <w:num w:numId="49" w16cid:durableId="2064668452">
    <w:abstractNumId w:val="41"/>
  </w:num>
  <w:num w:numId="50" w16cid:durableId="666715634">
    <w:abstractNumId w:val="42"/>
  </w:num>
  <w:num w:numId="51" w16cid:durableId="1553927623">
    <w:abstractNumId w:val="27"/>
  </w:num>
  <w:num w:numId="52" w16cid:durableId="1650400994">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925"/>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2F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410"/>
    <w:rsid w:val="00083507"/>
    <w:rsid w:val="000844F5"/>
    <w:rsid w:val="00084827"/>
    <w:rsid w:val="00084B66"/>
    <w:rsid w:val="0008541F"/>
    <w:rsid w:val="0008744D"/>
    <w:rsid w:val="00087549"/>
    <w:rsid w:val="00090E3B"/>
    <w:rsid w:val="00091947"/>
    <w:rsid w:val="00091A8C"/>
    <w:rsid w:val="00091B67"/>
    <w:rsid w:val="00092534"/>
    <w:rsid w:val="00092E1C"/>
    <w:rsid w:val="00093AF6"/>
    <w:rsid w:val="00093CA9"/>
    <w:rsid w:val="000948C7"/>
    <w:rsid w:val="00096371"/>
    <w:rsid w:val="000966D3"/>
    <w:rsid w:val="000A0D34"/>
    <w:rsid w:val="000A1365"/>
    <w:rsid w:val="000A1490"/>
    <w:rsid w:val="000A1828"/>
    <w:rsid w:val="000A1917"/>
    <w:rsid w:val="000A1C25"/>
    <w:rsid w:val="000A1D3E"/>
    <w:rsid w:val="000A3C19"/>
    <w:rsid w:val="000A50AD"/>
    <w:rsid w:val="000A59F1"/>
    <w:rsid w:val="000A6B31"/>
    <w:rsid w:val="000A6F11"/>
    <w:rsid w:val="000A7C9B"/>
    <w:rsid w:val="000B0734"/>
    <w:rsid w:val="000B15C7"/>
    <w:rsid w:val="000B1BF7"/>
    <w:rsid w:val="000B24B6"/>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931"/>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51D"/>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C40"/>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69B2"/>
    <w:rsid w:val="00206E20"/>
    <w:rsid w:val="00207AFC"/>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07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696"/>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680"/>
    <w:rsid w:val="00344B03"/>
    <w:rsid w:val="00345B1A"/>
    <w:rsid w:val="00346D03"/>
    <w:rsid w:val="003473CB"/>
    <w:rsid w:val="00347515"/>
    <w:rsid w:val="003510A0"/>
    <w:rsid w:val="003514EB"/>
    <w:rsid w:val="00352152"/>
    <w:rsid w:val="003525D5"/>
    <w:rsid w:val="00353C12"/>
    <w:rsid w:val="003540A1"/>
    <w:rsid w:val="003544E0"/>
    <w:rsid w:val="00357003"/>
    <w:rsid w:val="00357361"/>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501"/>
    <w:rsid w:val="00386B53"/>
    <w:rsid w:val="00387413"/>
    <w:rsid w:val="0038785C"/>
    <w:rsid w:val="0039010E"/>
    <w:rsid w:val="00390B82"/>
    <w:rsid w:val="00390EB0"/>
    <w:rsid w:val="0039223F"/>
    <w:rsid w:val="00392F82"/>
    <w:rsid w:val="0039353D"/>
    <w:rsid w:val="003937AD"/>
    <w:rsid w:val="00393BA9"/>
    <w:rsid w:val="003961E2"/>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339"/>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1A5"/>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3B0"/>
    <w:rsid w:val="00493986"/>
    <w:rsid w:val="00493E0A"/>
    <w:rsid w:val="00494A74"/>
    <w:rsid w:val="00494B67"/>
    <w:rsid w:val="00496413"/>
    <w:rsid w:val="00497DBF"/>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657"/>
    <w:rsid w:val="004B2D74"/>
    <w:rsid w:val="004B3C40"/>
    <w:rsid w:val="004B4203"/>
    <w:rsid w:val="004B666D"/>
    <w:rsid w:val="004B739E"/>
    <w:rsid w:val="004B77AB"/>
    <w:rsid w:val="004C006D"/>
    <w:rsid w:val="004C20B7"/>
    <w:rsid w:val="004C3866"/>
    <w:rsid w:val="004C3A52"/>
    <w:rsid w:val="004C522D"/>
    <w:rsid w:val="004C6739"/>
    <w:rsid w:val="004C70AC"/>
    <w:rsid w:val="004D2730"/>
    <w:rsid w:val="004D3416"/>
    <w:rsid w:val="004D5810"/>
    <w:rsid w:val="004D6484"/>
    <w:rsid w:val="004D7C53"/>
    <w:rsid w:val="004E32FA"/>
    <w:rsid w:val="004E4730"/>
    <w:rsid w:val="004E4F56"/>
    <w:rsid w:val="004E51B5"/>
    <w:rsid w:val="004F0C55"/>
    <w:rsid w:val="004F276F"/>
    <w:rsid w:val="004F48E8"/>
    <w:rsid w:val="004F5354"/>
    <w:rsid w:val="00500E34"/>
    <w:rsid w:val="00501CCF"/>
    <w:rsid w:val="00502833"/>
    <w:rsid w:val="00502C8A"/>
    <w:rsid w:val="00502F7A"/>
    <w:rsid w:val="00504B4A"/>
    <w:rsid w:val="00505115"/>
    <w:rsid w:val="00505C53"/>
    <w:rsid w:val="00506FC8"/>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DA4"/>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6D8"/>
    <w:rsid w:val="005576AE"/>
    <w:rsid w:val="00561537"/>
    <w:rsid w:val="00563224"/>
    <w:rsid w:val="00563395"/>
    <w:rsid w:val="00563432"/>
    <w:rsid w:val="005650AF"/>
    <w:rsid w:val="00566FDB"/>
    <w:rsid w:val="00570082"/>
    <w:rsid w:val="00571A9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199"/>
    <w:rsid w:val="00590DC7"/>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29E6"/>
    <w:rsid w:val="005A383B"/>
    <w:rsid w:val="005A4E4C"/>
    <w:rsid w:val="005A54A2"/>
    <w:rsid w:val="005A5613"/>
    <w:rsid w:val="005A76C9"/>
    <w:rsid w:val="005B355B"/>
    <w:rsid w:val="005B4539"/>
    <w:rsid w:val="005C327C"/>
    <w:rsid w:val="005C3E97"/>
    <w:rsid w:val="005C4282"/>
    <w:rsid w:val="005C4420"/>
    <w:rsid w:val="005C5681"/>
    <w:rsid w:val="005C6A1D"/>
    <w:rsid w:val="005C765C"/>
    <w:rsid w:val="005C7DF6"/>
    <w:rsid w:val="005D02C9"/>
    <w:rsid w:val="005D2D8A"/>
    <w:rsid w:val="005D55BE"/>
    <w:rsid w:val="005D63AF"/>
    <w:rsid w:val="005D7847"/>
    <w:rsid w:val="005D7CD4"/>
    <w:rsid w:val="005E0296"/>
    <w:rsid w:val="005E264E"/>
    <w:rsid w:val="005E2F27"/>
    <w:rsid w:val="005E50FD"/>
    <w:rsid w:val="005E603A"/>
    <w:rsid w:val="005E62F9"/>
    <w:rsid w:val="005E647C"/>
    <w:rsid w:val="005E6D04"/>
    <w:rsid w:val="005E78BA"/>
    <w:rsid w:val="005F0524"/>
    <w:rsid w:val="005F1EF0"/>
    <w:rsid w:val="005F2454"/>
    <w:rsid w:val="005F2B91"/>
    <w:rsid w:val="005F2D73"/>
    <w:rsid w:val="005F2EA1"/>
    <w:rsid w:val="005F3137"/>
    <w:rsid w:val="005F34FB"/>
    <w:rsid w:val="005F444D"/>
    <w:rsid w:val="005F4B1C"/>
    <w:rsid w:val="005F4D8C"/>
    <w:rsid w:val="005F7A89"/>
    <w:rsid w:val="005F7AC4"/>
    <w:rsid w:val="00601397"/>
    <w:rsid w:val="0060224F"/>
    <w:rsid w:val="00602AE9"/>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81C"/>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2B3"/>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EAC"/>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55F4"/>
    <w:rsid w:val="00705948"/>
    <w:rsid w:val="00705ADE"/>
    <w:rsid w:val="007066F4"/>
    <w:rsid w:val="00706956"/>
    <w:rsid w:val="00707D5E"/>
    <w:rsid w:val="00707F76"/>
    <w:rsid w:val="00711F61"/>
    <w:rsid w:val="007130D4"/>
    <w:rsid w:val="00714103"/>
    <w:rsid w:val="00714E43"/>
    <w:rsid w:val="00717C33"/>
    <w:rsid w:val="007201B1"/>
    <w:rsid w:val="00721334"/>
    <w:rsid w:val="007245FC"/>
    <w:rsid w:val="007250B7"/>
    <w:rsid w:val="007274CB"/>
    <w:rsid w:val="0072785A"/>
    <w:rsid w:val="00730E27"/>
    <w:rsid w:val="007312A3"/>
    <w:rsid w:val="00732D3A"/>
    <w:rsid w:val="00733178"/>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A3C"/>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7F7"/>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511"/>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7F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82D"/>
    <w:rsid w:val="00804EC7"/>
    <w:rsid w:val="00805459"/>
    <w:rsid w:val="008063B5"/>
    <w:rsid w:val="00806435"/>
    <w:rsid w:val="00806AB6"/>
    <w:rsid w:val="00807DC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1F1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76D"/>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1BDA"/>
    <w:rsid w:val="00872A9A"/>
    <w:rsid w:val="008732CE"/>
    <w:rsid w:val="0087393B"/>
    <w:rsid w:val="008747C8"/>
    <w:rsid w:val="00874E39"/>
    <w:rsid w:val="008766C1"/>
    <w:rsid w:val="00877C38"/>
    <w:rsid w:val="00877FBD"/>
    <w:rsid w:val="00880170"/>
    <w:rsid w:val="00880274"/>
    <w:rsid w:val="008812AC"/>
    <w:rsid w:val="0088292A"/>
    <w:rsid w:val="008835E8"/>
    <w:rsid w:val="008840E5"/>
    <w:rsid w:val="008854D8"/>
    <w:rsid w:val="008857E8"/>
    <w:rsid w:val="00885CB2"/>
    <w:rsid w:val="00886005"/>
    <w:rsid w:val="00887186"/>
    <w:rsid w:val="00887A64"/>
    <w:rsid w:val="00890032"/>
    <w:rsid w:val="0089120B"/>
    <w:rsid w:val="008915CB"/>
    <w:rsid w:val="00891DBD"/>
    <w:rsid w:val="0089355A"/>
    <w:rsid w:val="00893E6B"/>
    <w:rsid w:val="00896A1E"/>
    <w:rsid w:val="00897600"/>
    <w:rsid w:val="008A0461"/>
    <w:rsid w:val="008A093D"/>
    <w:rsid w:val="008A1DDE"/>
    <w:rsid w:val="008A207F"/>
    <w:rsid w:val="008A345E"/>
    <w:rsid w:val="008A4685"/>
    <w:rsid w:val="008A50AD"/>
    <w:rsid w:val="008B0F60"/>
    <w:rsid w:val="008B0F8A"/>
    <w:rsid w:val="008B2418"/>
    <w:rsid w:val="008B41FC"/>
    <w:rsid w:val="008B4536"/>
    <w:rsid w:val="008B5DC5"/>
    <w:rsid w:val="008B5E8E"/>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5364"/>
    <w:rsid w:val="008F6A58"/>
    <w:rsid w:val="008F6F09"/>
    <w:rsid w:val="008F7F76"/>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525"/>
    <w:rsid w:val="009252DD"/>
    <w:rsid w:val="00926863"/>
    <w:rsid w:val="00926D7F"/>
    <w:rsid w:val="009303DD"/>
    <w:rsid w:val="009307C9"/>
    <w:rsid w:val="0093086E"/>
    <w:rsid w:val="00931217"/>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6F0"/>
    <w:rsid w:val="009A0851"/>
    <w:rsid w:val="009A1530"/>
    <w:rsid w:val="009A15B3"/>
    <w:rsid w:val="009A25CA"/>
    <w:rsid w:val="009A2F67"/>
    <w:rsid w:val="009A322B"/>
    <w:rsid w:val="009A4BC9"/>
    <w:rsid w:val="009A50A0"/>
    <w:rsid w:val="009A5C4E"/>
    <w:rsid w:val="009A639D"/>
    <w:rsid w:val="009A66B8"/>
    <w:rsid w:val="009A6870"/>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EB0"/>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22B"/>
    <w:rsid w:val="009F56B4"/>
    <w:rsid w:val="009F5822"/>
    <w:rsid w:val="009F676A"/>
    <w:rsid w:val="009F7316"/>
    <w:rsid w:val="00A02AF3"/>
    <w:rsid w:val="00A035AB"/>
    <w:rsid w:val="00A04C9D"/>
    <w:rsid w:val="00A04DB8"/>
    <w:rsid w:val="00A050A2"/>
    <w:rsid w:val="00A05CFC"/>
    <w:rsid w:val="00A064CE"/>
    <w:rsid w:val="00A06810"/>
    <w:rsid w:val="00A0773E"/>
    <w:rsid w:val="00A07FB5"/>
    <w:rsid w:val="00A123CE"/>
    <w:rsid w:val="00A1384B"/>
    <w:rsid w:val="00A13A54"/>
    <w:rsid w:val="00A1411D"/>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140"/>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44A"/>
    <w:rsid w:val="00A90D91"/>
    <w:rsid w:val="00A93112"/>
    <w:rsid w:val="00A932DE"/>
    <w:rsid w:val="00A95747"/>
    <w:rsid w:val="00A9656E"/>
    <w:rsid w:val="00AA186B"/>
    <w:rsid w:val="00AA38F6"/>
    <w:rsid w:val="00AA4965"/>
    <w:rsid w:val="00AA6DDB"/>
    <w:rsid w:val="00AA7BC7"/>
    <w:rsid w:val="00AB0830"/>
    <w:rsid w:val="00AB2CCC"/>
    <w:rsid w:val="00AB4F2C"/>
    <w:rsid w:val="00AB64F8"/>
    <w:rsid w:val="00AC0BE6"/>
    <w:rsid w:val="00AC14A5"/>
    <w:rsid w:val="00AC1F5D"/>
    <w:rsid w:val="00AC6ECF"/>
    <w:rsid w:val="00AC7125"/>
    <w:rsid w:val="00AC7B6B"/>
    <w:rsid w:val="00AD0C57"/>
    <w:rsid w:val="00AD1216"/>
    <w:rsid w:val="00AD1BC7"/>
    <w:rsid w:val="00AD4477"/>
    <w:rsid w:val="00AD4F51"/>
    <w:rsid w:val="00AD5285"/>
    <w:rsid w:val="00AD54D3"/>
    <w:rsid w:val="00AD5C69"/>
    <w:rsid w:val="00AD6A98"/>
    <w:rsid w:val="00AD70E0"/>
    <w:rsid w:val="00AE0028"/>
    <w:rsid w:val="00AE00FE"/>
    <w:rsid w:val="00AE0451"/>
    <w:rsid w:val="00AE0803"/>
    <w:rsid w:val="00AE0ADB"/>
    <w:rsid w:val="00AE2662"/>
    <w:rsid w:val="00AE3CBD"/>
    <w:rsid w:val="00AE5D21"/>
    <w:rsid w:val="00AE7C5F"/>
    <w:rsid w:val="00AE7C61"/>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1F0"/>
    <w:rsid w:val="00B61B6F"/>
    <w:rsid w:val="00B61D29"/>
    <w:rsid w:val="00B62F6C"/>
    <w:rsid w:val="00B634F2"/>
    <w:rsid w:val="00B65F11"/>
    <w:rsid w:val="00B673AC"/>
    <w:rsid w:val="00B6777F"/>
    <w:rsid w:val="00B71015"/>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9AF"/>
    <w:rsid w:val="00B90D29"/>
    <w:rsid w:val="00B90F5B"/>
    <w:rsid w:val="00B9130E"/>
    <w:rsid w:val="00B91B0A"/>
    <w:rsid w:val="00B93871"/>
    <w:rsid w:val="00B93EA9"/>
    <w:rsid w:val="00B944C1"/>
    <w:rsid w:val="00B9495C"/>
    <w:rsid w:val="00B94A0E"/>
    <w:rsid w:val="00B95827"/>
    <w:rsid w:val="00B95988"/>
    <w:rsid w:val="00B96C97"/>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38F"/>
    <w:rsid w:val="00BC5451"/>
    <w:rsid w:val="00BC5744"/>
    <w:rsid w:val="00BC5B8A"/>
    <w:rsid w:val="00BC793B"/>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A6A"/>
    <w:rsid w:val="00BF2BCA"/>
    <w:rsid w:val="00BF4357"/>
    <w:rsid w:val="00BF5C7E"/>
    <w:rsid w:val="00BF5CAB"/>
    <w:rsid w:val="00BF6293"/>
    <w:rsid w:val="00BF6E4C"/>
    <w:rsid w:val="00BF71E9"/>
    <w:rsid w:val="00BF71F1"/>
    <w:rsid w:val="00BF76DF"/>
    <w:rsid w:val="00BF7CB5"/>
    <w:rsid w:val="00C0054E"/>
    <w:rsid w:val="00C01031"/>
    <w:rsid w:val="00C01384"/>
    <w:rsid w:val="00C01AF9"/>
    <w:rsid w:val="00C0274C"/>
    <w:rsid w:val="00C02F33"/>
    <w:rsid w:val="00C0791C"/>
    <w:rsid w:val="00C1062C"/>
    <w:rsid w:val="00C1090B"/>
    <w:rsid w:val="00C10DD0"/>
    <w:rsid w:val="00C13017"/>
    <w:rsid w:val="00C13FBE"/>
    <w:rsid w:val="00C141CA"/>
    <w:rsid w:val="00C149A3"/>
    <w:rsid w:val="00C16C64"/>
    <w:rsid w:val="00C173CD"/>
    <w:rsid w:val="00C20109"/>
    <w:rsid w:val="00C20FC8"/>
    <w:rsid w:val="00C227D5"/>
    <w:rsid w:val="00C228DF"/>
    <w:rsid w:val="00C23F1E"/>
    <w:rsid w:val="00C2454C"/>
    <w:rsid w:val="00C25F98"/>
    <w:rsid w:val="00C2624B"/>
    <w:rsid w:val="00C26867"/>
    <w:rsid w:val="00C27879"/>
    <w:rsid w:val="00C30240"/>
    <w:rsid w:val="00C30C2F"/>
    <w:rsid w:val="00C312DD"/>
    <w:rsid w:val="00C3135C"/>
    <w:rsid w:val="00C3244D"/>
    <w:rsid w:val="00C33102"/>
    <w:rsid w:val="00C3337E"/>
    <w:rsid w:val="00C34977"/>
    <w:rsid w:val="00C34F65"/>
    <w:rsid w:val="00C352FA"/>
    <w:rsid w:val="00C35794"/>
    <w:rsid w:val="00C36019"/>
    <w:rsid w:val="00C370DD"/>
    <w:rsid w:val="00C37B62"/>
    <w:rsid w:val="00C37D30"/>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1AA"/>
    <w:rsid w:val="00C72EC1"/>
    <w:rsid w:val="00C72FA9"/>
    <w:rsid w:val="00C73FAD"/>
    <w:rsid w:val="00C74636"/>
    <w:rsid w:val="00C74D69"/>
    <w:rsid w:val="00C75536"/>
    <w:rsid w:val="00C758F8"/>
    <w:rsid w:val="00C76B74"/>
    <w:rsid w:val="00C81133"/>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984"/>
    <w:rsid w:val="00CA0DAE"/>
    <w:rsid w:val="00CA0E49"/>
    <w:rsid w:val="00CA1535"/>
    <w:rsid w:val="00CA5087"/>
    <w:rsid w:val="00CA58EE"/>
    <w:rsid w:val="00CA7EEF"/>
    <w:rsid w:val="00CB1649"/>
    <w:rsid w:val="00CB179D"/>
    <w:rsid w:val="00CB3E5E"/>
    <w:rsid w:val="00CB4EBD"/>
    <w:rsid w:val="00CB6338"/>
    <w:rsid w:val="00CB76AA"/>
    <w:rsid w:val="00CB790E"/>
    <w:rsid w:val="00CC0618"/>
    <w:rsid w:val="00CC1407"/>
    <w:rsid w:val="00CC41FD"/>
    <w:rsid w:val="00CC450D"/>
    <w:rsid w:val="00CC4FFC"/>
    <w:rsid w:val="00CC5328"/>
    <w:rsid w:val="00CC77F9"/>
    <w:rsid w:val="00CC7CC0"/>
    <w:rsid w:val="00CC7E4A"/>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2ED"/>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C44"/>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E94"/>
    <w:rsid w:val="00D66DDD"/>
    <w:rsid w:val="00D67EB7"/>
    <w:rsid w:val="00D70367"/>
    <w:rsid w:val="00D7554F"/>
    <w:rsid w:val="00D765DD"/>
    <w:rsid w:val="00D76854"/>
    <w:rsid w:val="00D80C46"/>
    <w:rsid w:val="00D8158A"/>
    <w:rsid w:val="00D818DF"/>
    <w:rsid w:val="00D825A8"/>
    <w:rsid w:val="00D83201"/>
    <w:rsid w:val="00D8337E"/>
    <w:rsid w:val="00D8345D"/>
    <w:rsid w:val="00D87651"/>
    <w:rsid w:val="00D9109A"/>
    <w:rsid w:val="00D91F15"/>
    <w:rsid w:val="00D927D9"/>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CCA"/>
    <w:rsid w:val="00DE78F0"/>
    <w:rsid w:val="00DE7ADF"/>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3B73"/>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B2B"/>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63C"/>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498"/>
    <w:rsid w:val="00EC237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A64"/>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E2A"/>
    <w:rsid w:val="00F33485"/>
    <w:rsid w:val="00F34436"/>
    <w:rsid w:val="00F3642C"/>
    <w:rsid w:val="00F3654A"/>
    <w:rsid w:val="00F36C5B"/>
    <w:rsid w:val="00F408F6"/>
    <w:rsid w:val="00F40E78"/>
    <w:rsid w:val="00F41680"/>
    <w:rsid w:val="00F41EE0"/>
    <w:rsid w:val="00F42580"/>
    <w:rsid w:val="00F428DF"/>
    <w:rsid w:val="00F42C39"/>
    <w:rsid w:val="00F511CC"/>
    <w:rsid w:val="00F51334"/>
    <w:rsid w:val="00F5203B"/>
    <w:rsid w:val="00F526AD"/>
    <w:rsid w:val="00F527B7"/>
    <w:rsid w:val="00F52E73"/>
    <w:rsid w:val="00F52F6F"/>
    <w:rsid w:val="00F53828"/>
    <w:rsid w:val="00F5517E"/>
    <w:rsid w:val="00F562F6"/>
    <w:rsid w:val="00F60B38"/>
    <w:rsid w:val="00F6108E"/>
    <w:rsid w:val="00F61CB7"/>
    <w:rsid w:val="00F6292A"/>
    <w:rsid w:val="00F62C69"/>
    <w:rsid w:val="00F63214"/>
    <w:rsid w:val="00F632FB"/>
    <w:rsid w:val="00F63EEB"/>
    <w:rsid w:val="00F64C00"/>
    <w:rsid w:val="00F64DA9"/>
    <w:rsid w:val="00F65C81"/>
    <w:rsid w:val="00F704D9"/>
    <w:rsid w:val="00F70A0D"/>
    <w:rsid w:val="00F73B7C"/>
    <w:rsid w:val="00F74037"/>
    <w:rsid w:val="00F7455B"/>
    <w:rsid w:val="00F746AC"/>
    <w:rsid w:val="00F74B9D"/>
    <w:rsid w:val="00F75058"/>
    <w:rsid w:val="00F75726"/>
    <w:rsid w:val="00F7660F"/>
    <w:rsid w:val="00F768AD"/>
    <w:rsid w:val="00F76B75"/>
    <w:rsid w:val="00F774EE"/>
    <w:rsid w:val="00F77EB8"/>
    <w:rsid w:val="00F8229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6D0"/>
    <w:rsid w:val="00FB5A70"/>
    <w:rsid w:val="00FC0689"/>
    <w:rsid w:val="00FC13F0"/>
    <w:rsid w:val="00FC337B"/>
    <w:rsid w:val="00FC5AA7"/>
    <w:rsid w:val="00FC6E48"/>
    <w:rsid w:val="00FC7135"/>
    <w:rsid w:val="00FD07AA"/>
    <w:rsid w:val="00FD139F"/>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4B5DFB"/>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5DCD1D"/>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BF6727"/>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317FA"/>
    <w:rsid w:val="2A84F75D"/>
    <w:rsid w:val="2AE12B46"/>
    <w:rsid w:val="2AFA85B6"/>
    <w:rsid w:val="2B60652F"/>
    <w:rsid w:val="2BC80A3D"/>
    <w:rsid w:val="2BD19682"/>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98FFF2"/>
    <w:rsid w:val="426215FF"/>
    <w:rsid w:val="427040DC"/>
    <w:rsid w:val="4281762D"/>
    <w:rsid w:val="42F121DF"/>
    <w:rsid w:val="43914498"/>
    <w:rsid w:val="43A686FB"/>
    <w:rsid w:val="43D202B3"/>
    <w:rsid w:val="44795FA6"/>
    <w:rsid w:val="449C882E"/>
    <w:rsid w:val="44B4523A"/>
    <w:rsid w:val="44E51B8C"/>
    <w:rsid w:val="44F4927E"/>
    <w:rsid w:val="4510C4F5"/>
    <w:rsid w:val="4538AB66"/>
    <w:rsid w:val="45B201C2"/>
    <w:rsid w:val="45CFF1FD"/>
    <w:rsid w:val="45E7AF4D"/>
    <w:rsid w:val="45FF4A45"/>
    <w:rsid w:val="465C7D69"/>
    <w:rsid w:val="466E435B"/>
    <w:rsid w:val="46F50C52"/>
    <w:rsid w:val="46FA6E29"/>
    <w:rsid w:val="471ACB44"/>
    <w:rsid w:val="47257F41"/>
    <w:rsid w:val="47B6A061"/>
    <w:rsid w:val="47BC5285"/>
    <w:rsid w:val="47C84A10"/>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397DE2"/>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23EBA2"/>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4039ED"/>
    <w:rsid w:val="62758EDD"/>
    <w:rsid w:val="62A9964B"/>
    <w:rsid w:val="62BF568E"/>
    <w:rsid w:val="62CF290A"/>
    <w:rsid w:val="62E26A3D"/>
    <w:rsid w:val="62F2EE59"/>
    <w:rsid w:val="631014AC"/>
    <w:rsid w:val="6337F107"/>
    <w:rsid w:val="63B39DD0"/>
    <w:rsid w:val="63C8C759"/>
    <w:rsid w:val="63EF5E61"/>
    <w:rsid w:val="641F2416"/>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DA6673"/>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6839F3"/>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character" w:styleId="Gl">
    <w:name w:val="Strong"/>
    <w:basedOn w:val="VarsaylanParagrafYazTipi"/>
    <w:uiPriority w:val="22"/>
    <w:qFormat/>
    <w:rsid w:val="00C721A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495097">
      <w:bodyDiv w:val="1"/>
      <w:marLeft w:val="0"/>
      <w:marRight w:val="0"/>
      <w:marTop w:val="0"/>
      <w:marBottom w:val="0"/>
      <w:divBdr>
        <w:top w:val="none" w:sz="0" w:space="0" w:color="auto"/>
        <w:left w:val="none" w:sz="0" w:space="0" w:color="auto"/>
        <w:bottom w:val="none" w:sz="0" w:space="0" w:color="auto"/>
        <w:right w:val="none" w:sz="0" w:space="0" w:color="auto"/>
      </w:divBdr>
    </w:div>
    <w:div w:id="183641492">
      <w:bodyDiv w:val="1"/>
      <w:marLeft w:val="0"/>
      <w:marRight w:val="0"/>
      <w:marTop w:val="0"/>
      <w:marBottom w:val="0"/>
      <w:divBdr>
        <w:top w:val="none" w:sz="0" w:space="0" w:color="auto"/>
        <w:left w:val="none" w:sz="0" w:space="0" w:color="auto"/>
        <w:bottom w:val="none" w:sz="0" w:space="0" w:color="auto"/>
        <w:right w:val="none" w:sz="0" w:space="0" w:color="auto"/>
      </w:divBdr>
    </w:div>
    <w:div w:id="262340914">
      <w:bodyDiv w:val="1"/>
      <w:marLeft w:val="0"/>
      <w:marRight w:val="0"/>
      <w:marTop w:val="0"/>
      <w:marBottom w:val="0"/>
      <w:divBdr>
        <w:top w:val="none" w:sz="0" w:space="0" w:color="auto"/>
        <w:left w:val="none" w:sz="0" w:space="0" w:color="auto"/>
        <w:bottom w:val="none" w:sz="0" w:space="0" w:color="auto"/>
        <w:right w:val="none" w:sz="0" w:space="0" w:color="auto"/>
      </w:divBdr>
    </w:div>
    <w:div w:id="28057614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700293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692668">
      <w:bodyDiv w:val="1"/>
      <w:marLeft w:val="0"/>
      <w:marRight w:val="0"/>
      <w:marTop w:val="0"/>
      <w:marBottom w:val="0"/>
      <w:divBdr>
        <w:top w:val="none" w:sz="0" w:space="0" w:color="auto"/>
        <w:left w:val="none" w:sz="0" w:space="0" w:color="auto"/>
        <w:bottom w:val="none" w:sz="0" w:space="0" w:color="auto"/>
        <w:right w:val="none" w:sz="0" w:space="0" w:color="auto"/>
      </w:divBdr>
    </w:div>
    <w:div w:id="836069028">
      <w:bodyDiv w:val="1"/>
      <w:marLeft w:val="0"/>
      <w:marRight w:val="0"/>
      <w:marTop w:val="0"/>
      <w:marBottom w:val="0"/>
      <w:divBdr>
        <w:top w:val="none" w:sz="0" w:space="0" w:color="auto"/>
        <w:left w:val="none" w:sz="0" w:space="0" w:color="auto"/>
        <w:bottom w:val="none" w:sz="0" w:space="0" w:color="auto"/>
        <w:right w:val="none" w:sz="0" w:space="0" w:color="auto"/>
      </w:divBdr>
    </w:div>
    <w:div w:id="868375540">
      <w:bodyDiv w:val="1"/>
      <w:marLeft w:val="0"/>
      <w:marRight w:val="0"/>
      <w:marTop w:val="0"/>
      <w:marBottom w:val="0"/>
      <w:divBdr>
        <w:top w:val="none" w:sz="0" w:space="0" w:color="auto"/>
        <w:left w:val="none" w:sz="0" w:space="0" w:color="auto"/>
        <w:bottom w:val="none" w:sz="0" w:space="0" w:color="auto"/>
        <w:right w:val="none" w:sz="0" w:space="0" w:color="auto"/>
      </w:divBdr>
      <w:divsChild>
        <w:div w:id="16890638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7626185">
      <w:bodyDiv w:val="1"/>
      <w:marLeft w:val="0"/>
      <w:marRight w:val="0"/>
      <w:marTop w:val="0"/>
      <w:marBottom w:val="0"/>
      <w:divBdr>
        <w:top w:val="none" w:sz="0" w:space="0" w:color="auto"/>
        <w:left w:val="none" w:sz="0" w:space="0" w:color="auto"/>
        <w:bottom w:val="none" w:sz="0" w:space="0" w:color="auto"/>
        <w:right w:val="none" w:sz="0" w:space="0" w:color="auto"/>
      </w:divBdr>
      <w:divsChild>
        <w:div w:id="8486454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6969060">
      <w:bodyDiv w:val="1"/>
      <w:marLeft w:val="0"/>
      <w:marRight w:val="0"/>
      <w:marTop w:val="0"/>
      <w:marBottom w:val="0"/>
      <w:divBdr>
        <w:top w:val="none" w:sz="0" w:space="0" w:color="auto"/>
        <w:left w:val="none" w:sz="0" w:space="0" w:color="auto"/>
        <w:bottom w:val="none" w:sz="0" w:space="0" w:color="auto"/>
        <w:right w:val="none" w:sz="0" w:space="0" w:color="auto"/>
      </w:divBdr>
    </w:div>
    <w:div w:id="188674731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616120926/https:/ms.hmb.gov.tr/uploads/2024/09/MoTF-Green-Bond-Allocation-Report-2024.pdf" TargetMode="Externa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50618110541/https:/www.icmagroup.org/assets/documents/Sustainable-finance/2021-updates/Sustainability-Bond-Guidelines-June-2021-140621.pdf"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2071544/https:/ms.hmb.gov.tr/uploads/2021/11/Republic-of-Turkey-Sustainable-Finance-Framework.pdf" TargetMode="External"/><Relationship Id="rId25" Type="http://schemas.openxmlformats.org/officeDocument/2006/relationships/hyperlink" Target="https://www.bis.org/fsi/fsibriefs18.pdf"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18110352/https:/www.icmagroup.org/assets/documents/Sustainable-finance/2021-updates/Social-Bond-Principles-June-2021-100621.pdf" TargetMode="External"/><Relationship Id="rId29" Type="http://schemas.openxmlformats.org/officeDocument/2006/relationships/hyperlink" Target="https://web.archive.org/web/20250618110541/https:/www.icmagroup.org/assets/documents/Sustainable-finance/2021-updates/Sustainability-Bond-Guidelines-June-2021-1406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16120926/https:/ms.hmb.gov.tr/uploads/2024/09/MoTF-Green-Bond-Allocation-Report-2024.pdf" TargetMode="External"/><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18110942/https:/www.lsta.org/content/social-loan-principles-slp/" TargetMode="External"/><Relationship Id="rId28" Type="http://schemas.openxmlformats.org/officeDocument/2006/relationships/hyperlink" Target="https://web.archive.org/web/20250618110352/https:/www.icmagroup.org/assets/documents/Sustainable-finance/2021-updates/Social-Bond-Principles-June-2021-100621.pdf" TargetMode="External"/><Relationship Id="rId10" Type="http://schemas.openxmlformats.org/officeDocument/2006/relationships/endnotes" Target="endnotes.xml"/><Relationship Id="rId19" Type="http://schemas.openxmlformats.org/officeDocument/2006/relationships/hyperlink" Target="https://web.archive.org/web/20250618110041/https:/www.icmagroup.org/assets/documents/Sustainable-finance/2022-updates/Green-Bond-Principles-June-2022-060623.pdf" TargetMode="External"/><Relationship Id="rId31" Type="http://schemas.openxmlformats.org/officeDocument/2006/relationships/hyperlink" Target="https://web.archive.org/web/20250618110942/https:/www.lsta.org/content/social-loan-principles-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18110724/https:/www.icmagroup.org/assets/documents/Regulatory/Green-Bonds/LMAGreenLoanPrinciplesBooklet-270919.pdf" TargetMode="External"/><Relationship Id="rId27" Type="http://schemas.openxmlformats.org/officeDocument/2006/relationships/hyperlink" Target="https://web.archive.org/web/20250618110041/https:/www.icmagroup.org/assets/documents/Sustainable-finance/2022-updates/Green-Bond-Principles-June-2022-060623.pdf" TargetMode="External"/><Relationship Id="rId30" Type="http://schemas.openxmlformats.org/officeDocument/2006/relationships/hyperlink" Target="https://web.archive.org/web/20250618110724/https:/www.icmagroup.org/assets/documents/Regulatory/Green-Bonds/LMAGreenLoanPrinciplesBooklet-270919.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8D54E34C-0969-47CD-BC82-C036851EE3A7}"/>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64</Pages>
  <Words>23323</Words>
  <Characters>132946</Characters>
  <Application>Microsoft Office Word</Application>
  <DocSecurity>0</DocSecurity>
  <Lines>1107</Lines>
  <Paragraphs>311</Paragraphs>
  <ScaleCrop>false</ScaleCrop>
  <Company/>
  <LinksUpToDate>false</LinksUpToDate>
  <CharactersWithSpaces>155958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14</cp:revision>
  <cp:lastPrinted>2025-03-21T00:14:00Z</cp:lastPrinted>
  <dcterms:created xsi:type="dcterms:W3CDTF">2025-07-03T13:18:00Z</dcterms:created>
  <dcterms:modified xsi:type="dcterms:W3CDTF">2025-07-08T06:26:00Z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